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ED566" w14:textId="63D6D576" w:rsidR="00EB4DD3" w:rsidRPr="006F14E7" w:rsidRDefault="00EB4DD3" w:rsidP="00975F94">
      <w:pPr>
        <w:spacing w:after="0" w:line="240" w:lineRule="auto"/>
        <w:jc w:val="center"/>
        <w:rPr>
          <w:rFonts w:ascii="Times New Roman" w:eastAsia="MS PGothic" w:hAnsi="Times New Roman" w:cs="Times New Roman"/>
          <w:b/>
          <w:color w:val="000000"/>
          <w:sz w:val="24"/>
          <w:szCs w:val="24"/>
        </w:rPr>
      </w:pPr>
      <w:r w:rsidRPr="006F14E7">
        <w:rPr>
          <w:rFonts w:ascii="Times New Roman" w:eastAsia="MS PGothic" w:hAnsi="Times New Roman" w:cs="Times New Roman"/>
          <w:b/>
          <w:color w:val="000000"/>
          <w:sz w:val="24"/>
          <w:szCs w:val="24"/>
        </w:rPr>
        <w:t xml:space="preserve">Determinación Social </w:t>
      </w:r>
      <w:r w:rsidR="00877B43" w:rsidRPr="006F14E7">
        <w:rPr>
          <w:rFonts w:ascii="Times New Roman" w:eastAsia="MS PGothic" w:hAnsi="Times New Roman" w:cs="Times New Roman"/>
          <w:b/>
          <w:color w:val="000000"/>
          <w:sz w:val="24"/>
          <w:szCs w:val="24"/>
        </w:rPr>
        <w:t>en México</w:t>
      </w:r>
      <w:r w:rsidRPr="006F14E7">
        <w:rPr>
          <w:rFonts w:ascii="Times New Roman" w:eastAsia="MS PGothic" w:hAnsi="Times New Roman" w:cs="Times New Roman"/>
          <w:b/>
          <w:color w:val="000000"/>
          <w:sz w:val="24"/>
          <w:szCs w:val="24"/>
        </w:rPr>
        <w:t xml:space="preserve"> y </w:t>
      </w:r>
      <w:r w:rsidR="005155AA" w:rsidRPr="006F14E7">
        <w:rPr>
          <w:rFonts w:ascii="Times New Roman" w:eastAsia="MS PGothic" w:hAnsi="Times New Roman" w:cs="Times New Roman"/>
          <w:b/>
          <w:color w:val="000000"/>
          <w:sz w:val="24"/>
          <w:szCs w:val="24"/>
        </w:rPr>
        <w:t xml:space="preserve">su </w:t>
      </w:r>
      <w:r w:rsidRPr="006F14E7">
        <w:rPr>
          <w:rFonts w:ascii="Times New Roman" w:eastAsia="MS PGothic" w:hAnsi="Times New Roman" w:cs="Times New Roman"/>
          <w:b/>
          <w:color w:val="000000"/>
          <w:sz w:val="24"/>
          <w:szCs w:val="24"/>
        </w:rPr>
        <w:t xml:space="preserve">efecto ante la pandemia </w:t>
      </w:r>
      <w:r w:rsidR="00975F94" w:rsidRPr="006F14E7">
        <w:rPr>
          <w:rFonts w:ascii="Times New Roman" w:eastAsia="MS PGothic" w:hAnsi="Times New Roman" w:cs="Times New Roman"/>
          <w:b/>
          <w:color w:val="000000"/>
          <w:sz w:val="24"/>
          <w:szCs w:val="24"/>
        </w:rPr>
        <w:t>por</w:t>
      </w:r>
      <w:r w:rsidRPr="006F14E7">
        <w:rPr>
          <w:rFonts w:ascii="Times New Roman" w:eastAsia="MS PGothic" w:hAnsi="Times New Roman" w:cs="Times New Roman"/>
          <w:b/>
          <w:color w:val="000000"/>
          <w:sz w:val="24"/>
          <w:szCs w:val="24"/>
        </w:rPr>
        <w:t xml:space="preserve"> C</w:t>
      </w:r>
      <w:r w:rsidR="00975F94" w:rsidRPr="006F14E7">
        <w:rPr>
          <w:rFonts w:ascii="Times New Roman" w:eastAsia="MS PGothic" w:hAnsi="Times New Roman" w:cs="Times New Roman"/>
          <w:b/>
          <w:color w:val="000000"/>
          <w:sz w:val="24"/>
          <w:szCs w:val="24"/>
        </w:rPr>
        <w:t>ovid</w:t>
      </w:r>
      <w:r w:rsidRPr="006F14E7">
        <w:rPr>
          <w:rFonts w:ascii="Times New Roman" w:eastAsia="MS PGothic" w:hAnsi="Times New Roman" w:cs="Times New Roman"/>
          <w:b/>
          <w:color w:val="000000"/>
          <w:sz w:val="24"/>
          <w:szCs w:val="24"/>
        </w:rPr>
        <w:t>-19</w:t>
      </w:r>
    </w:p>
    <w:p w14:paraId="63EA1271" w14:textId="77777777" w:rsidR="009E3B50" w:rsidRPr="006F14E7" w:rsidRDefault="009E3B50" w:rsidP="00975F94">
      <w:pPr>
        <w:spacing w:after="0" w:line="240" w:lineRule="auto"/>
        <w:jc w:val="center"/>
        <w:rPr>
          <w:rFonts w:ascii="Times New Roman" w:eastAsia="MS PGothic" w:hAnsi="Times New Roman" w:cs="Times New Roman"/>
          <w:b/>
          <w:color w:val="000000"/>
          <w:sz w:val="24"/>
          <w:szCs w:val="24"/>
        </w:rPr>
      </w:pPr>
    </w:p>
    <w:p w14:paraId="794786C8" w14:textId="5ACA482E" w:rsidR="002E456A" w:rsidRPr="006F14E7" w:rsidRDefault="00975F94" w:rsidP="006F14E7">
      <w:pPr>
        <w:jc w:val="center"/>
        <w:rPr>
          <w:rFonts w:ascii="Times New Roman" w:hAnsi="Times New Roman" w:cs="Times New Roman"/>
          <w:lang w:val="en-US" w:eastAsia="es-MX"/>
        </w:rPr>
      </w:pPr>
      <w:r w:rsidRPr="006F14E7">
        <w:rPr>
          <w:rFonts w:ascii="Times New Roman" w:hAnsi="Times New Roman" w:cs="Times New Roman"/>
          <w:lang w:val="en-US"/>
        </w:rPr>
        <w:t>Social Determination in Mexico and its effect in the face of the Covid-19 pandemic</w:t>
      </w:r>
    </w:p>
    <w:p w14:paraId="31C2009E" w14:textId="77777777" w:rsidR="006E0697" w:rsidRPr="006F14E7" w:rsidRDefault="006E0697" w:rsidP="00975F94">
      <w:pPr>
        <w:spacing w:after="0" w:line="240" w:lineRule="auto"/>
        <w:jc w:val="center"/>
        <w:rPr>
          <w:rFonts w:ascii="Times New Roman" w:eastAsia="MS PGothic" w:hAnsi="Times New Roman" w:cs="Times New Roman"/>
          <w:b/>
          <w:color w:val="000000"/>
          <w:sz w:val="24"/>
          <w:szCs w:val="24"/>
          <w:lang w:val="en-US"/>
        </w:rPr>
      </w:pPr>
    </w:p>
    <w:p w14:paraId="2E298BB5" w14:textId="07BE7CAF" w:rsidR="009E3B50" w:rsidRPr="006F14E7" w:rsidRDefault="00C71AFB" w:rsidP="00975F94">
      <w:pPr>
        <w:spacing w:after="0" w:line="240" w:lineRule="auto"/>
        <w:jc w:val="center"/>
        <w:rPr>
          <w:rFonts w:ascii="Times New Roman" w:eastAsia="MS PGothic" w:hAnsi="Times New Roman" w:cs="Times New Roman"/>
          <w:b/>
          <w:color w:val="000000"/>
          <w:sz w:val="24"/>
          <w:szCs w:val="24"/>
        </w:rPr>
      </w:pPr>
      <w:r w:rsidRPr="006F14E7">
        <w:rPr>
          <w:rFonts w:ascii="Times New Roman" w:eastAsia="MS PGothic" w:hAnsi="Times New Roman" w:cs="Times New Roman"/>
          <w:b/>
          <w:color w:val="000000"/>
          <w:sz w:val="24"/>
          <w:szCs w:val="24"/>
        </w:rPr>
        <w:t xml:space="preserve">Oscar Armando Piñón </w:t>
      </w:r>
      <w:r w:rsidR="002725AA" w:rsidRPr="006F14E7">
        <w:rPr>
          <w:rFonts w:ascii="Times New Roman" w:eastAsia="MS PGothic" w:hAnsi="Times New Roman" w:cs="Times New Roman"/>
          <w:b/>
          <w:color w:val="000000"/>
          <w:sz w:val="24"/>
          <w:szCs w:val="24"/>
        </w:rPr>
        <w:t>Avilés</w:t>
      </w:r>
    </w:p>
    <w:p w14:paraId="4DE4BB57" w14:textId="4C39BDB8" w:rsidR="00C71AFB" w:rsidRPr="006F14E7" w:rsidRDefault="00C71AFB" w:rsidP="00975F94">
      <w:pPr>
        <w:spacing w:after="0" w:line="240" w:lineRule="auto"/>
        <w:jc w:val="center"/>
        <w:rPr>
          <w:rFonts w:ascii="Times New Roman" w:hAnsi="Times New Roman" w:cs="Times New Roman"/>
          <w:sz w:val="24"/>
          <w:szCs w:val="24"/>
          <w:shd w:val="clear" w:color="auto" w:fill="FFFFFF"/>
        </w:rPr>
      </w:pPr>
      <w:r w:rsidRPr="006F14E7">
        <w:rPr>
          <w:rFonts w:ascii="Times New Roman" w:hAnsi="Times New Roman" w:cs="Times New Roman"/>
          <w:sz w:val="24"/>
          <w:szCs w:val="24"/>
          <w:shd w:val="clear" w:color="auto" w:fill="FFFFFF"/>
        </w:rPr>
        <w:t>Universidad Autónoma del Estado de México</w:t>
      </w:r>
    </w:p>
    <w:p w14:paraId="5E30189A" w14:textId="327C7BF5" w:rsidR="00C71AFB" w:rsidRPr="006F14E7" w:rsidRDefault="00C71AFB" w:rsidP="00975F94">
      <w:pPr>
        <w:spacing w:after="0" w:line="240" w:lineRule="auto"/>
        <w:jc w:val="center"/>
        <w:rPr>
          <w:rFonts w:ascii="Times New Roman" w:hAnsi="Times New Roman" w:cs="Times New Roman"/>
          <w:sz w:val="24"/>
          <w:szCs w:val="24"/>
          <w:shd w:val="clear" w:color="auto" w:fill="FFFFFF"/>
        </w:rPr>
      </w:pPr>
      <w:r w:rsidRPr="006F14E7">
        <w:rPr>
          <w:rFonts w:ascii="Times New Roman" w:hAnsi="Times New Roman" w:cs="Times New Roman"/>
          <w:sz w:val="24"/>
          <w:szCs w:val="24"/>
          <w:shd w:val="clear" w:color="auto" w:fill="FFFFFF"/>
        </w:rPr>
        <w:t>M</w:t>
      </w:r>
      <w:r w:rsidR="00AB7AA6" w:rsidRPr="006F14E7">
        <w:rPr>
          <w:rFonts w:ascii="Times New Roman" w:hAnsi="Times New Roman" w:cs="Times New Roman"/>
          <w:sz w:val="24"/>
          <w:szCs w:val="24"/>
          <w:shd w:val="clear" w:color="auto" w:fill="FFFFFF"/>
        </w:rPr>
        <w:t>t</w:t>
      </w:r>
      <w:r w:rsidRPr="006F14E7">
        <w:rPr>
          <w:rFonts w:ascii="Times New Roman" w:hAnsi="Times New Roman" w:cs="Times New Roman"/>
          <w:sz w:val="24"/>
          <w:szCs w:val="24"/>
          <w:shd w:val="clear" w:color="auto" w:fill="FFFFFF"/>
        </w:rPr>
        <w:t>ro</w:t>
      </w:r>
      <w:r w:rsidR="00AB7AA6" w:rsidRPr="006F14E7">
        <w:rPr>
          <w:rFonts w:ascii="Times New Roman" w:hAnsi="Times New Roman" w:cs="Times New Roman"/>
          <w:sz w:val="24"/>
          <w:szCs w:val="24"/>
          <w:shd w:val="clear" w:color="auto" w:fill="FFFFFF"/>
        </w:rPr>
        <w:t>.</w:t>
      </w:r>
      <w:r w:rsidRPr="006F14E7">
        <w:rPr>
          <w:rFonts w:ascii="Times New Roman" w:hAnsi="Times New Roman" w:cs="Times New Roman"/>
          <w:sz w:val="24"/>
          <w:szCs w:val="24"/>
          <w:shd w:val="clear" w:color="auto" w:fill="FFFFFF"/>
        </w:rPr>
        <w:t xml:space="preserve"> </w:t>
      </w:r>
      <w:proofErr w:type="gramStart"/>
      <w:r w:rsidRPr="006F14E7">
        <w:rPr>
          <w:rFonts w:ascii="Times New Roman" w:hAnsi="Times New Roman" w:cs="Times New Roman"/>
          <w:sz w:val="24"/>
          <w:szCs w:val="24"/>
          <w:shd w:val="clear" w:color="auto" w:fill="FFFFFF"/>
        </w:rPr>
        <w:t>en</w:t>
      </w:r>
      <w:proofErr w:type="gramEnd"/>
      <w:r w:rsidRPr="006F14E7">
        <w:rPr>
          <w:rFonts w:ascii="Times New Roman" w:hAnsi="Times New Roman" w:cs="Times New Roman"/>
          <w:sz w:val="24"/>
          <w:szCs w:val="24"/>
          <w:shd w:val="clear" w:color="auto" w:fill="FFFFFF"/>
        </w:rPr>
        <w:t xml:space="preserve"> Sociología de la Salud</w:t>
      </w:r>
    </w:p>
    <w:p w14:paraId="199998FB" w14:textId="3488D492" w:rsidR="00C71AFB" w:rsidRPr="006F14E7" w:rsidRDefault="006E096F" w:rsidP="00975F94">
      <w:pPr>
        <w:shd w:val="clear" w:color="auto" w:fill="FFFFFF"/>
        <w:spacing w:after="0" w:line="240" w:lineRule="auto"/>
        <w:jc w:val="center"/>
        <w:rPr>
          <w:rFonts w:ascii="Times New Roman" w:hAnsi="Times New Roman" w:cs="Times New Roman"/>
          <w:color w:val="000000" w:themeColor="text1"/>
          <w:sz w:val="24"/>
          <w:szCs w:val="24"/>
        </w:rPr>
      </w:pPr>
      <w:hyperlink r:id="rId9" w:history="1">
        <w:r w:rsidR="00C71AFB" w:rsidRPr="006F14E7">
          <w:rPr>
            <w:rStyle w:val="Hipervnculo"/>
            <w:rFonts w:ascii="Times New Roman" w:hAnsi="Times New Roman" w:cs="Times New Roman"/>
            <w:sz w:val="24"/>
            <w:szCs w:val="24"/>
          </w:rPr>
          <w:t>Oscar.pinonaviles@gmail.com</w:t>
        </w:r>
      </w:hyperlink>
    </w:p>
    <w:p w14:paraId="28D700EA" w14:textId="58CC7635" w:rsidR="00AB7AA6" w:rsidRPr="006F14E7" w:rsidRDefault="00AB7AA6" w:rsidP="00975F94">
      <w:pPr>
        <w:spacing w:after="0" w:line="240" w:lineRule="auto"/>
        <w:jc w:val="center"/>
        <w:rPr>
          <w:rStyle w:val="orcid-id-https"/>
          <w:rFonts w:ascii="Times New Roman" w:hAnsi="Times New Roman" w:cs="Times New Roman"/>
          <w:sz w:val="24"/>
          <w:szCs w:val="24"/>
        </w:rPr>
      </w:pPr>
      <w:proofErr w:type="spellStart"/>
      <w:r w:rsidRPr="006F14E7">
        <w:rPr>
          <w:rStyle w:val="orcid-id-https"/>
          <w:rFonts w:ascii="Times New Roman" w:hAnsi="Times New Roman" w:cs="Times New Roman"/>
          <w:sz w:val="24"/>
          <w:szCs w:val="24"/>
        </w:rPr>
        <w:t>Orcid</w:t>
      </w:r>
      <w:proofErr w:type="spellEnd"/>
      <w:r w:rsidRPr="006F14E7">
        <w:rPr>
          <w:rStyle w:val="orcid-id-https"/>
          <w:rFonts w:ascii="Times New Roman" w:hAnsi="Times New Roman" w:cs="Times New Roman"/>
          <w:sz w:val="24"/>
          <w:szCs w:val="24"/>
        </w:rPr>
        <w:t xml:space="preserve">: </w:t>
      </w:r>
      <w:hyperlink r:id="rId10" w:tgtFrame="_blank" w:history="1">
        <w:r w:rsidRPr="006F14E7">
          <w:rPr>
            <w:rStyle w:val="Hipervnculo"/>
            <w:rFonts w:ascii="Times New Roman" w:hAnsi="Times New Roman" w:cs="Times New Roman"/>
            <w:color w:val="1155CC"/>
            <w:sz w:val="24"/>
            <w:szCs w:val="24"/>
            <w:shd w:val="clear" w:color="auto" w:fill="FFFFFF"/>
          </w:rPr>
          <w:t>https://orcid.org/0000-0003-1523-8196</w:t>
        </w:r>
      </w:hyperlink>
    </w:p>
    <w:p w14:paraId="0385CE94" w14:textId="77777777" w:rsidR="008710EF" w:rsidRPr="006F14E7" w:rsidRDefault="008710EF" w:rsidP="00975F94">
      <w:pPr>
        <w:spacing w:after="0" w:line="240" w:lineRule="auto"/>
        <w:jc w:val="center"/>
        <w:rPr>
          <w:rFonts w:ascii="Times New Roman" w:hAnsi="Times New Roman" w:cs="Times New Roman"/>
          <w:b/>
          <w:bCs/>
          <w:color w:val="000000" w:themeColor="text1"/>
          <w:sz w:val="24"/>
          <w:szCs w:val="24"/>
        </w:rPr>
      </w:pPr>
    </w:p>
    <w:p w14:paraId="5FA11913" w14:textId="77DA33F1" w:rsidR="00C71AFB" w:rsidRPr="006F14E7" w:rsidRDefault="00C71AFB" w:rsidP="00975F94">
      <w:pPr>
        <w:spacing w:after="0" w:line="240" w:lineRule="auto"/>
        <w:jc w:val="center"/>
        <w:rPr>
          <w:rFonts w:ascii="Times New Roman" w:hAnsi="Times New Roman" w:cs="Times New Roman"/>
          <w:color w:val="000000" w:themeColor="text1"/>
          <w:sz w:val="24"/>
          <w:szCs w:val="24"/>
        </w:rPr>
      </w:pPr>
      <w:r w:rsidRPr="006F14E7">
        <w:rPr>
          <w:rFonts w:ascii="Times New Roman" w:hAnsi="Times New Roman" w:cs="Times New Roman"/>
          <w:b/>
          <w:bCs/>
          <w:color w:val="000000" w:themeColor="text1"/>
          <w:sz w:val="24"/>
          <w:szCs w:val="24"/>
        </w:rPr>
        <w:t>Georgina Contreras Landgrave</w:t>
      </w:r>
    </w:p>
    <w:p w14:paraId="3492B0D3" w14:textId="03E3E1E7" w:rsidR="00C71AFB" w:rsidRPr="006F14E7" w:rsidRDefault="00C71AFB" w:rsidP="00975F94">
      <w:pPr>
        <w:spacing w:after="0" w:line="240" w:lineRule="auto"/>
        <w:jc w:val="center"/>
        <w:rPr>
          <w:rFonts w:ascii="Times New Roman" w:hAnsi="Times New Roman" w:cs="Times New Roman"/>
          <w:sz w:val="24"/>
          <w:szCs w:val="24"/>
          <w:shd w:val="clear" w:color="auto" w:fill="FFFFFF"/>
        </w:rPr>
      </w:pPr>
      <w:r w:rsidRPr="006F14E7">
        <w:rPr>
          <w:rFonts w:ascii="Times New Roman" w:hAnsi="Times New Roman" w:cs="Times New Roman"/>
          <w:sz w:val="24"/>
          <w:szCs w:val="24"/>
          <w:shd w:val="clear" w:color="auto" w:fill="FFFFFF"/>
        </w:rPr>
        <w:t>Universidad Autónoma del Estado de México</w:t>
      </w:r>
    </w:p>
    <w:p w14:paraId="074B1C34" w14:textId="476CC3ED" w:rsidR="00C71AFB" w:rsidRPr="006F14E7" w:rsidRDefault="00C71AFB" w:rsidP="00975F94">
      <w:pPr>
        <w:spacing w:after="0" w:line="240" w:lineRule="auto"/>
        <w:jc w:val="center"/>
        <w:rPr>
          <w:rFonts w:ascii="Times New Roman" w:hAnsi="Times New Roman" w:cs="Times New Roman"/>
          <w:sz w:val="24"/>
          <w:szCs w:val="24"/>
        </w:rPr>
      </w:pPr>
      <w:r w:rsidRPr="006F14E7">
        <w:rPr>
          <w:rFonts w:ascii="Times New Roman" w:hAnsi="Times New Roman" w:cs="Times New Roman"/>
          <w:sz w:val="24"/>
          <w:szCs w:val="24"/>
        </w:rPr>
        <w:t xml:space="preserve">Dra. </w:t>
      </w:r>
      <w:proofErr w:type="gramStart"/>
      <w:r w:rsidR="00AB7AA6" w:rsidRPr="006F14E7">
        <w:rPr>
          <w:rFonts w:ascii="Times New Roman" w:hAnsi="Times New Roman" w:cs="Times New Roman"/>
          <w:sz w:val="24"/>
          <w:szCs w:val="24"/>
        </w:rPr>
        <w:t>e</w:t>
      </w:r>
      <w:r w:rsidRPr="006F14E7">
        <w:rPr>
          <w:rFonts w:ascii="Times New Roman" w:hAnsi="Times New Roman" w:cs="Times New Roman"/>
          <w:sz w:val="24"/>
          <w:szCs w:val="24"/>
        </w:rPr>
        <w:t>n</w:t>
      </w:r>
      <w:proofErr w:type="gramEnd"/>
      <w:r w:rsidRPr="006F14E7">
        <w:rPr>
          <w:rFonts w:ascii="Times New Roman" w:hAnsi="Times New Roman" w:cs="Times New Roman"/>
          <w:sz w:val="24"/>
          <w:szCs w:val="24"/>
        </w:rPr>
        <w:t xml:space="preserve"> Ciencias de la Salud Colectiva</w:t>
      </w:r>
    </w:p>
    <w:p w14:paraId="424BE69D" w14:textId="76A91A18" w:rsidR="00C71AFB" w:rsidRPr="006F14E7" w:rsidRDefault="006E096F" w:rsidP="00975F94">
      <w:pPr>
        <w:spacing w:after="0" w:line="240" w:lineRule="auto"/>
        <w:jc w:val="center"/>
        <w:rPr>
          <w:rFonts w:ascii="Times New Roman" w:hAnsi="Times New Roman" w:cs="Times New Roman"/>
          <w:sz w:val="24"/>
          <w:szCs w:val="24"/>
        </w:rPr>
      </w:pPr>
      <w:hyperlink r:id="rId11" w:history="1">
        <w:r w:rsidR="00C71AFB" w:rsidRPr="006F14E7">
          <w:rPr>
            <w:rStyle w:val="Hipervnculo"/>
            <w:rFonts w:ascii="Times New Roman" w:hAnsi="Times New Roman" w:cs="Times New Roman"/>
            <w:sz w:val="24"/>
            <w:szCs w:val="24"/>
          </w:rPr>
          <w:t>gcontrerasl@uaemex.mx</w:t>
        </w:r>
      </w:hyperlink>
    </w:p>
    <w:p w14:paraId="505AF6C4" w14:textId="77514E99" w:rsidR="00C71AFB" w:rsidRPr="006F14E7" w:rsidRDefault="00C71AFB" w:rsidP="00975F94">
      <w:pPr>
        <w:spacing w:after="0" w:line="240" w:lineRule="auto"/>
        <w:jc w:val="center"/>
        <w:rPr>
          <w:rStyle w:val="Hipervnculo"/>
          <w:rFonts w:ascii="Times New Roman" w:hAnsi="Times New Roman" w:cs="Times New Roman"/>
          <w:sz w:val="24"/>
          <w:szCs w:val="24"/>
        </w:rPr>
      </w:pPr>
      <w:proofErr w:type="spellStart"/>
      <w:r w:rsidRPr="006F14E7">
        <w:rPr>
          <w:rFonts w:ascii="Times New Roman" w:hAnsi="Times New Roman" w:cs="Times New Roman"/>
          <w:sz w:val="24"/>
          <w:szCs w:val="24"/>
        </w:rPr>
        <w:t>Orcid</w:t>
      </w:r>
      <w:proofErr w:type="spellEnd"/>
      <w:r w:rsidRPr="006F14E7">
        <w:rPr>
          <w:rFonts w:ascii="Times New Roman" w:hAnsi="Times New Roman" w:cs="Times New Roman"/>
          <w:sz w:val="24"/>
          <w:szCs w:val="24"/>
        </w:rPr>
        <w:t xml:space="preserve">: </w:t>
      </w:r>
      <w:hyperlink r:id="rId12" w:history="1">
        <w:r w:rsidRPr="006F14E7">
          <w:rPr>
            <w:rStyle w:val="Hipervnculo"/>
            <w:rFonts w:ascii="Times New Roman" w:hAnsi="Times New Roman" w:cs="Times New Roman"/>
            <w:sz w:val="24"/>
            <w:szCs w:val="24"/>
          </w:rPr>
          <w:t>https://orcid.org/0000-0002-0353-5970</w:t>
        </w:r>
      </w:hyperlink>
    </w:p>
    <w:p w14:paraId="0656FA91" w14:textId="77777777" w:rsidR="00C71AFB" w:rsidRPr="006F14E7" w:rsidRDefault="00C71AFB" w:rsidP="00975F94">
      <w:pPr>
        <w:spacing w:after="0" w:line="240" w:lineRule="auto"/>
        <w:jc w:val="center"/>
        <w:rPr>
          <w:rFonts w:ascii="Times New Roman" w:hAnsi="Times New Roman" w:cs="Times New Roman"/>
          <w:sz w:val="24"/>
          <w:szCs w:val="24"/>
        </w:rPr>
      </w:pPr>
    </w:p>
    <w:p w14:paraId="286CCC1E" w14:textId="7635015C" w:rsidR="00C71AFB" w:rsidRPr="006F14E7" w:rsidRDefault="00C71AFB" w:rsidP="00975F94">
      <w:pPr>
        <w:spacing w:after="0" w:line="240" w:lineRule="auto"/>
        <w:jc w:val="center"/>
        <w:rPr>
          <w:rFonts w:ascii="Times New Roman" w:hAnsi="Times New Roman" w:cs="Times New Roman"/>
          <w:b/>
          <w:bCs/>
          <w:sz w:val="24"/>
          <w:szCs w:val="24"/>
        </w:rPr>
      </w:pPr>
      <w:proofErr w:type="spellStart"/>
      <w:r w:rsidRPr="006F14E7">
        <w:rPr>
          <w:rFonts w:ascii="Times New Roman" w:hAnsi="Times New Roman" w:cs="Times New Roman"/>
          <w:b/>
          <w:bCs/>
          <w:sz w:val="24"/>
          <w:szCs w:val="24"/>
        </w:rPr>
        <w:t>Donovan</w:t>
      </w:r>
      <w:proofErr w:type="spellEnd"/>
      <w:r w:rsidRPr="006F14E7">
        <w:rPr>
          <w:rFonts w:ascii="Times New Roman" w:hAnsi="Times New Roman" w:cs="Times New Roman"/>
          <w:b/>
          <w:bCs/>
          <w:sz w:val="24"/>
          <w:szCs w:val="24"/>
        </w:rPr>
        <w:t xml:space="preserve"> Casas Patiño</w:t>
      </w:r>
    </w:p>
    <w:p w14:paraId="01B9A880" w14:textId="067CD754" w:rsidR="00C71AFB" w:rsidRPr="006F14E7" w:rsidRDefault="00C71AFB" w:rsidP="00975F94">
      <w:pPr>
        <w:spacing w:after="0" w:line="240" w:lineRule="auto"/>
        <w:jc w:val="center"/>
        <w:rPr>
          <w:rFonts w:ascii="Times New Roman" w:hAnsi="Times New Roman" w:cs="Times New Roman"/>
          <w:sz w:val="24"/>
          <w:szCs w:val="24"/>
          <w:shd w:val="clear" w:color="auto" w:fill="FFFFFF"/>
        </w:rPr>
      </w:pPr>
      <w:bookmarkStart w:id="0" w:name="_GoBack"/>
      <w:r w:rsidRPr="006F14E7">
        <w:rPr>
          <w:rFonts w:ascii="Times New Roman" w:hAnsi="Times New Roman" w:cs="Times New Roman"/>
          <w:sz w:val="24"/>
          <w:szCs w:val="24"/>
          <w:shd w:val="clear" w:color="auto" w:fill="FFFFFF"/>
        </w:rPr>
        <w:t>Universidad Autónoma del Estado de México</w:t>
      </w:r>
    </w:p>
    <w:bookmarkEnd w:id="0"/>
    <w:p w14:paraId="5F237F84" w14:textId="640C0810" w:rsidR="00C71AFB" w:rsidRPr="006F14E7" w:rsidRDefault="00C71AFB" w:rsidP="00975F94">
      <w:pPr>
        <w:spacing w:after="0" w:line="240" w:lineRule="auto"/>
        <w:jc w:val="center"/>
        <w:rPr>
          <w:rFonts w:ascii="Times New Roman" w:hAnsi="Times New Roman" w:cs="Times New Roman"/>
          <w:sz w:val="24"/>
          <w:szCs w:val="24"/>
        </w:rPr>
      </w:pPr>
      <w:r w:rsidRPr="006F14E7">
        <w:rPr>
          <w:rFonts w:ascii="Times New Roman" w:hAnsi="Times New Roman" w:cs="Times New Roman"/>
          <w:sz w:val="24"/>
          <w:szCs w:val="24"/>
        </w:rPr>
        <w:t xml:space="preserve">Dr. </w:t>
      </w:r>
      <w:r w:rsidR="002725AA" w:rsidRPr="006F14E7">
        <w:rPr>
          <w:rFonts w:ascii="Times New Roman" w:hAnsi="Times New Roman" w:cs="Times New Roman"/>
          <w:sz w:val="24"/>
          <w:szCs w:val="24"/>
        </w:rPr>
        <w:t>e</w:t>
      </w:r>
      <w:r w:rsidRPr="006F14E7">
        <w:rPr>
          <w:rFonts w:ascii="Times New Roman" w:hAnsi="Times New Roman" w:cs="Times New Roman"/>
          <w:sz w:val="24"/>
          <w:szCs w:val="24"/>
        </w:rPr>
        <w:t>n Ciencias de la Salud Colectiva</w:t>
      </w:r>
    </w:p>
    <w:p w14:paraId="49B1DF1D" w14:textId="7797E90E" w:rsidR="00C71AFB" w:rsidRPr="006F14E7" w:rsidRDefault="00D61F19" w:rsidP="00D61F19">
      <w:pPr>
        <w:tabs>
          <w:tab w:val="left" w:pos="3086"/>
          <w:tab w:val="center" w:pos="4419"/>
        </w:tabs>
        <w:spacing w:after="0" w:line="240" w:lineRule="auto"/>
        <w:rPr>
          <w:rFonts w:ascii="Times New Roman" w:hAnsi="Times New Roman" w:cs="Times New Roman"/>
          <w:sz w:val="24"/>
          <w:szCs w:val="24"/>
        </w:rPr>
      </w:pPr>
      <w:r>
        <w:tab/>
      </w:r>
      <w:r>
        <w:tab/>
      </w:r>
      <w:hyperlink r:id="rId13" w:history="1">
        <w:r w:rsidR="00C71AFB" w:rsidRPr="006F14E7">
          <w:rPr>
            <w:rStyle w:val="Hipervnculo"/>
            <w:rFonts w:ascii="Times New Roman" w:hAnsi="Times New Roman" w:cs="Times New Roman"/>
            <w:sz w:val="24"/>
            <w:szCs w:val="24"/>
          </w:rPr>
          <w:t>capo730211@yahoo.es</w:t>
        </w:r>
      </w:hyperlink>
    </w:p>
    <w:p w14:paraId="6A822C04" w14:textId="46EA86A7" w:rsidR="00C71AFB" w:rsidRDefault="00C71AFB" w:rsidP="00975F94">
      <w:pPr>
        <w:spacing w:after="0" w:line="240" w:lineRule="auto"/>
        <w:jc w:val="center"/>
        <w:rPr>
          <w:rStyle w:val="Hipervnculo"/>
          <w:rFonts w:ascii="Times New Roman" w:hAnsi="Times New Roman" w:cs="Times New Roman"/>
          <w:sz w:val="24"/>
          <w:szCs w:val="24"/>
          <w:shd w:val="clear" w:color="auto" w:fill="FFFFFF"/>
        </w:rPr>
      </w:pPr>
      <w:proofErr w:type="spellStart"/>
      <w:r w:rsidRPr="006F14E7">
        <w:rPr>
          <w:rFonts w:ascii="Times New Roman" w:hAnsi="Times New Roman" w:cs="Times New Roman"/>
          <w:sz w:val="24"/>
          <w:szCs w:val="24"/>
          <w:shd w:val="clear" w:color="auto" w:fill="FFFFFF"/>
        </w:rPr>
        <w:t>Orcid</w:t>
      </w:r>
      <w:proofErr w:type="spellEnd"/>
      <w:r w:rsidRPr="006F14E7">
        <w:rPr>
          <w:rFonts w:ascii="Times New Roman" w:hAnsi="Times New Roman" w:cs="Times New Roman"/>
          <w:sz w:val="24"/>
          <w:szCs w:val="24"/>
          <w:shd w:val="clear" w:color="auto" w:fill="FFFFFF"/>
        </w:rPr>
        <w:t xml:space="preserve">: </w:t>
      </w:r>
      <w:hyperlink r:id="rId14" w:history="1">
        <w:r w:rsidRPr="006F14E7">
          <w:rPr>
            <w:rStyle w:val="Hipervnculo"/>
            <w:rFonts w:ascii="Times New Roman" w:hAnsi="Times New Roman" w:cs="Times New Roman"/>
            <w:sz w:val="24"/>
            <w:szCs w:val="24"/>
            <w:shd w:val="clear" w:color="auto" w:fill="FFFFFF"/>
          </w:rPr>
          <w:t>https://orcid.org/0000-0002-3129-9418</w:t>
        </w:r>
      </w:hyperlink>
    </w:p>
    <w:p w14:paraId="721A7373" w14:textId="77777777" w:rsidR="006F14E7" w:rsidRDefault="006F14E7" w:rsidP="00975F94">
      <w:pPr>
        <w:spacing w:after="0" w:line="240" w:lineRule="auto"/>
        <w:jc w:val="center"/>
        <w:rPr>
          <w:rStyle w:val="Hipervnculo"/>
          <w:rFonts w:ascii="Times New Roman" w:hAnsi="Times New Roman" w:cs="Times New Roman"/>
          <w:sz w:val="24"/>
          <w:szCs w:val="24"/>
          <w:shd w:val="clear" w:color="auto" w:fill="FFFFFF"/>
        </w:rPr>
      </w:pPr>
    </w:p>
    <w:p w14:paraId="62A3952D" w14:textId="24E2258E" w:rsidR="006F14E7" w:rsidRPr="006F14E7" w:rsidRDefault="006F14E7" w:rsidP="006F14E7">
      <w:pPr>
        <w:spacing w:after="0" w:line="240" w:lineRule="auto"/>
        <w:jc w:val="center"/>
        <w:rPr>
          <w:rFonts w:ascii="Times New Roman" w:hAnsi="Times New Roman" w:cs="Times New Roman"/>
          <w:color w:val="494A4C"/>
          <w:sz w:val="24"/>
          <w:szCs w:val="24"/>
          <w:shd w:val="clear" w:color="auto" w:fill="FFFFFF"/>
        </w:rPr>
      </w:pPr>
      <w:r w:rsidRPr="006F14E7">
        <w:rPr>
          <w:rFonts w:ascii="Times New Roman" w:hAnsi="Times New Roman" w:cs="Times New Roman"/>
          <w:color w:val="494A4C"/>
          <w:sz w:val="24"/>
          <w:szCs w:val="24"/>
          <w:shd w:val="clear" w:color="auto" w:fill="FFFFFF"/>
        </w:rPr>
        <w:t xml:space="preserve">Recibido: </w:t>
      </w:r>
      <w:r>
        <w:rPr>
          <w:rFonts w:ascii="Times New Roman" w:hAnsi="Times New Roman" w:cs="Times New Roman"/>
          <w:color w:val="494A4C"/>
          <w:sz w:val="24"/>
          <w:szCs w:val="24"/>
          <w:shd w:val="clear" w:color="auto" w:fill="FFFFFF"/>
        </w:rPr>
        <w:t>18</w:t>
      </w:r>
      <w:r w:rsidRPr="006F14E7">
        <w:rPr>
          <w:rFonts w:ascii="Times New Roman" w:hAnsi="Times New Roman" w:cs="Times New Roman"/>
          <w:color w:val="494A4C"/>
          <w:sz w:val="24"/>
          <w:szCs w:val="24"/>
          <w:shd w:val="clear" w:color="auto" w:fill="FFFFFF"/>
        </w:rPr>
        <w:t>.06.2021</w:t>
      </w:r>
    </w:p>
    <w:p w14:paraId="389EBD02" w14:textId="4CAEAC19" w:rsidR="006F14E7" w:rsidRPr="006F14E7" w:rsidRDefault="006F14E7" w:rsidP="006F14E7">
      <w:pPr>
        <w:spacing w:after="0" w:line="240" w:lineRule="auto"/>
        <w:jc w:val="center"/>
        <w:rPr>
          <w:rFonts w:ascii="Times New Roman" w:hAnsi="Times New Roman" w:cs="Times New Roman"/>
          <w:color w:val="494A4C"/>
          <w:sz w:val="24"/>
          <w:szCs w:val="24"/>
          <w:shd w:val="clear" w:color="auto" w:fill="FFFFFF"/>
        </w:rPr>
      </w:pPr>
      <w:r w:rsidRPr="006F14E7">
        <w:rPr>
          <w:rFonts w:ascii="Times New Roman" w:hAnsi="Times New Roman" w:cs="Times New Roman"/>
          <w:color w:val="494A4C"/>
          <w:sz w:val="24"/>
          <w:szCs w:val="24"/>
          <w:shd w:val="clear" w:color="auto" w:fill="FFFFFF"/>
        </w:rPr>
        <w:t xml:space="preserve">Revisado: </w:t>
      </w:r>
      <w:r>
        <w:rPr>
          <w:rFonts w:ascii="Times New Roman" w:hAnsi="Times New Roman" w:cs="Times New Roman"/>
          <w:color w:val="494A4C"/>
          <w:sz w:val="24"/>
          <w:szCs w:val="24"/>
          <w:shd w:val="clear" w:color="auto" w:fill="FFFFFF"/>
        </w:rPr>
        <w:t>21</w:t>
      </w:r>
      <w:r w:rsidRPr="006F14E7">
        <w:rPr>
          <w:rFonts w:ascii="Times New Roman" w:hAnsi="Times New Roman" w:cs="Times New Roman"/>
          <w:color w:val="494A4C"/>
          <w:sz w:val="24"/>
          <w:szCs w:val="24"/>
          <w:shd w:val="clear" w:color="auto" w:fill="FFFFFF"/>
        </w:rPr>
        <w:t>.07.2021</w:t>
      </w:r>
    </w:p>
    <w:p w14:paraId="3CC5D184" w14:textId="36F2A267" w:rsidR="006F14E7" w:rsidRPr="006F14E7" w:rsidRDefault="006F14E7" w:rsidP="006F14E7">
      <w:pPr>
        <w:spacing w:after="0" w:line="240" w:lineRule="auto"/>
        <w:jc w:val="center"/>
        <w:rPr>
          <w:rFonts w:ascii="Times New Roman" w:hAnsi="Times New Roman" w:cs="Times New Roman"/>
          <w:color w:val="494A4C"/>
          <w:sz w:val="24"/>
          <w:szCs w:val="24"/>
          <w:shd w:val="clear" w:color="auto" w:fill="FFFFFF"/>
        </w:rPr>
      </w:pPr>
      <w:r w:rsidRPr="006F14E7">
        <w:rPr>
          <w:rFonts w:ascii="Times New Roman" w:hAnsi="Times New Roman" w:cs="Times New Roman"/>
          <w:color w:val="494A4C"/>
          <w:sz w:val="24"/>
          <w:szCs w:val="24"/>
          <w:shd w:val="clear" w:color="auto" w:fill="FFFFFF"/>
        </w:rPr>
        <w:t xml:space="preserve">Aceptado: </w:t>
      </w:r>
      <w:r>
        <w:rPr>
          <w:rFonts w:ascii="Times New Roman" w:hAnsi="Times New Roman" w:cs="Times New Roman"/>
          <w:color w:val="494A4C"/>
          <w:sz w:val="24"/>
          <w:szCs w:val="24"/>
          <w:shd w:val="clear" w:color="auto" w:fill="FFFFFF"/>
        </w:rPr>
        <w:t>15</w:t>
      </w:r>
      <w:r w:rsidRPr="006F14E7">
        <w:rPr>
          <w:rFonts w:ascii="Times New Roman" w:hAnsi="Times New Roman" w:cs="Times New Roman"/>
          <w:color w:val="494A4C"/>
          <w:sz w:val="24"/>
          <w:szCs w:val="24"/>
          <w:shd w:val="clear" w:color="auto" w:fill="FFFFFF"/>
        </w:rPr>
        <w:t>.08.2021</w:t>
      </w:r>
    </w:p>
    <w:p w14:paraId="0C037BFD" w14:textId="77777777" w:rsidR="006F14E7" w:rsidRPr="006F14E7" w:rsidRDefault="006F14E7" w:rsidP="006F14E7">
      <w:pPr>
        <w:spacing w:after="0" w:line="240" w:lineRule="auto"/>
        <w:jc w:val="center"/>
        <w:rPr>
          <w:rFonts w:ascii="Times New Roman" w:hAnsi="Times New Roman" w:cs="Times New Roman"/>
          <w:color w:val="494A4C"/>
          <w:sz w:val="24"/>
          <w:szCs w:val="24"/>
          <w:shd w:val="clear" w:color="auto" w:fill="FFFFFF"/>
        </w:rPr>
      </w:pPr>
    </w:p>
    <w:p w14:paraId="7BCBF950" w14:textId="4FF10290" w:rsidR="006F14E7" w:rsidRPr="006F14E7" w:rsidRDefault="006F14E7" w:rsidP="006F14E7">
      <w:pPr>
        <w:spacing w:after="0" w:line="240" w:lineRule="auto"/>
        <w:jc w:val="both"/>
        <w:rPr>
          <w:rFonts w:ascii="Times New Roman" w:hAnsi="Times New Roman" w:cs="Times New Roman"/>
          <w:color w:val="494A4C"/>
          <w:sz w:val="24"/>
          <w:szCs w:val="24"/>
          <w:shd w:val="clear" w:color="auto" w:fill="FFFFFF"/>
        </w:rPr>
      </w:pPr>
      <w:r w:rsidRPr="006F14E7">
        <w:rPr>
          <w:rFonts w:ascii="Times New Roman" w:hAnsi="Times New Roman" w:cs="Times New Roman"/>
          <w:color w:val="494A4C"/>
          <w:sz w:val="24"/>
          <w:szCs w:val="24"/>
          <w:shd w:val="clear" w:color="auto" w:fill="FFFFFF"/>
        </w:rPr>
        <w:t xml:space="preserve">Cómo citar este artículo: </w:t>
      </w:r>
      <w:proofErr w:type="spellStart"/>
      <w:r>
        <w:rPr>
          <w:rFonts w:ascii="Times New Roman" w:hAnsi="Times New Roman" w:cs="Times New Roman"/>
          <w:color w:val="494A4C"/>
          <w:sz w:val="24"/>
          <w:szCs w:val="24"/>
          <w:shd w:val="clear" w:color="auto" w:fill="FFFFFF"/>
        </w:rPr>
        <w:t>Piñon</w:t>
      </w:r>
      <w:proofErr w:type="spellEnd"/>
      <w:r>
        <w:rPr>
          <w:rFonts w:ascii="Times New Roman" w:hAnsi="Times New Roman" w:cs="Times New Roman"/>
          <w:color w:val="494A4C"/>
          <w:sz w:val="24"/>
          <w:szCs w:val="24"/>
          <w:shd w:val="clear" w:color="auto" w:fill="FFFFFF"/>
        </w:rPr>
        <w:t xml:space="preserve">, O.; Contreras, </w:t>
      </w:r>
      <w:r w:rsidRPr="006F14E7">
        <w:rPr>
          <w:rFonts w:ascii="Times New Roman" w:hAnsi="Times New Roman" w:cs="Times New Roman"/>
          <w:color w:val="494A4C"/>
          <w:sz w:val="24"/>
          <w:szCs w:val="24"/>
          <w:shd w:val="clear" w:color="auto" w:fill="FFFFFF"/>
        </w:rPr>
        <w:t>G</w:t>
      </w:r>
      <w:r>
        <w:rPr>
          <w:rFonts w:ascii="Times New Roman" w:hAnsi="Times New Roman" w:cs="Times New Roman"/>
          <w:color w:val="494A4C"/>
          <w:sz w:val="24"/>
          <w:szCs w:val="24"/>
          <w:shd w:val="clear" w:color="auto" w:fill="FFFFFF"/>
        </w:rPr>
        <w:t xml:space="preserve">. y Casas, D. </w:t>
      </w:r>
      <w:r w:rsidRPr="006F14E7">
        <w:rPr>
          <w:rFonts w:ascii="Times New Roman" w:eastAsia="MS PGothic" w:hAnsi="Times New Roman" w:cs="Times New Roman"/>
          <w:b/>
          <w:color w:val="000000"/>
          <w:sz w:val="24"/>
          <w:szCs w:val="24"/>
        </w:rPr>
        <w:t>Determinación Social en México y su efecto ante la pandemia por Covid-19</w:t>
      </w:r>
      <w:r w:rsidRPr="006F14E7">
        <w:rPr>
          <w:rFonts w:ascii="Times New Roman" w:hAnsi="Times New Roman" w:cs="Times New Roman"/>
          <w:color w:val="494A4C"/>
          <w:sz w:val="24"/>
          <w:szCs w:val="24"/>
          <w:shd w:val="clear" w:color="auto" w:fill="FFFFFF"/>
        </w:rPr>
        <w:t xml:space="preserve">. Salud y Bienestar Colectivo. 2021; 5 (3): </w:t>
      </w:r>
      <w:r>
        <w:rPr>
          <w:rFonts w:ascii="Times New Roman" w:hAnsi="Times New Roman" w:cs="Times New Roman"/>
          <w:color w:val="494A4C"/>
          <w:sz w:val="24"/>
          <w:szCs w:val="24"/>
          <w:shd w:val="clear" w:color="auto" w:fill="FFFFFF"/>
        </w:rPr>
        <w:t>2</w:t>
      </w:r>
      <w:r w:rsidRPr="006F14E7">
        <w:rPr>
          <w:rFonts w:ascii="Times New Roman" w:hAnsi="Times New Roman" w:cs="Times New Roman"/>
          <w:color w:val="494A4C"/>
          <w:sz w:val="24"/>
          <w:szCs w:val="24"/>
          <w:shd w:val="clear" w:color="auto" w:fill="FFFFFF"/>
        </w:rPr>
        <w:t>1-</w:t>
      </w:r>
      <w:r>
        <w:rPr>
          <w:rFonts w:ascii="Times New Roman" w:hAnsi="Times New Roman" w:cs="Times New Roman"/>
          <w:color w:val="494A4C"/>
          <w:sz w:val="24"/>
          <w:szCs w:val="24"/>
          <w:shd w:val="clear" w:color="auto" w:fill="FFFFFF"/>
        </w:rPr>
        <w:t>45</w:t>
      </w:r>
      <w:r w:rsidRPr="006F14E7">
        <w:rPr>
          <w:rFonts w:ascii="Times New Roman" w:hAnsi="Times New Roman" w:cs="Times New Roman"/>
          <w:color w:val="494A4C"/>
          <w:sz w:val="24"/>
          <w:szCs w:val="24"/>
          <w:shd w:val="clear" w:color="auto" w:fill="FFFFFF"/>
        </w:rPr>
        <w:t>.</w:t>
      </w:r>
    </w:p>
    <w:p w14:paraId="470FD83A" w14:textId="480AA236" w:rsidR="00C71AFB" w:rsidRPr="006F14E7" w:rsidRDefault="00C71AFB" w:rsidP="002E456A">
      <w:pPr>
        <w:spacing w:after="0" w:line="240" w:lineRule="auto"/>
        <w:rPr>
          <w:rFonts w:ascii="Times New Roman" w:eastAsia="MS PGothic" w:hAnsi="Times New Roman" w:cs="Times New Roman"/>
          <w:b/>
          <w:color w:val="000000"/>
          <w:sz w:val="24"/>
          <w:szCs w:val="24"/>
        </w:rPr>
      </w:pPr>
    </w:p>
    <w:p w14:paraId="5AFDDFAF" w14:textId="77777777" w:rsidR="002E456A" w:rsidRPr="006F14E7" w:rsidRDefault="002E456A" w:rsidP="002E456A">
      <w:pPr>
        <w:spacing w:after="0" w:line="240" w:lineRule="auto"/>
        <w:rPr>
          <w:rFonts w:ascii="Times New Roman" w:eastAsia="MS PGothic" w:hAnsi="Times New Roman" w:cs="Times New Roman"/>
          <w:b/>
          <w:color w:val="000000"/>
          <w:sz w:val="24"/>
          <w:szCs w:val="24"/>
        </w:rPr>
      </w:pPr>
    </w:p>
    <w:p w14:paraId="782CB986" w14:textId="4ADFD9DB" w:rsidR="002E456A" w:rsidRPr="006F14E7" w:rsidRDefault="00D7344D" w:rsidP="009E3B50">
      <w:pPr>
        <w:spacing w:after="0" w:line="240" w:lineRule="auto"/>
        <w:jc w:val="both"/>
        <w:rPr>
          <w:rFonts w:ascii="Times New Roman" w:hAnsi="Times New Roman" w:cs="Times New Roman"/>
          <w:sz w:val="24"/>
          <w:szCs w:val="24"/>
        </w:rPr>
      </w:pPr>
      <w:r w:rsidRPr="006F14E7">
        <w:rPr>
          <w:rFonts w:ascii="Times New Roman" w:eastAsia="MS PGothic" w:hAnsi="Times New Roman" w:cs="Times New Roman"/>
          <w:b/>
          <w:bCs/>
          <w:color w:val="000000"/>
          <w:sz w:val="24"/>
          <w:szCs w:val="24"/>
        </w:rPr>
        <w:t>Resumen:</w:t>
      </w:r>
      <w:r w:rsidR="006B38C9" w:rsidRPr="006F14E7">
        <w:rPr>
          <w:rFonts w:ascii="Times New Roman" w:eastAsia="MS PGothic" w:hAnsi="Times New Roman" w:cs="Times New Roman"/>
          <w:b/>
          <w:bCs/>
          <w:color w:val="000000"/>
          <w:sz w:val="24"/>
          <w:szCs w:val="24"/>
        </w:rPr>
        <w:t xml:space="preserve"> </w:t>
      </w:r>
      <w:r w:rsidR="003940E8" w:rsidRPr="006F14E7">
        <w:rPr>
          <w:rFonts w:ascii="Times New Roman" w:hAnsi="Times New Roman" w:cs="Times New Roman"/>
          <w:color w:val="000000"/>
          <w:sz w:val="24"/>
          <w:szCs w:val="24"/>
        </w:rPr>
        <w:t xml:space="preserve">Este articulo nos ayuda a </w:t>
      </w:r>
      <w:r w:rsidR="006B38C9" w:rsidRPr="006F14E7">
        <w:rPr>
          <w:rFonts w:ascii="Times New Roman" w:hAnsi="Times New Roman" w:cs="Times New Roman"/>
          <w:sz w:val="24"/>
          <w:szCs w:val="24"/>
        </w:rPr>
        <w:t>comprender la det</w:t>
      </w:r>
      <w:r w:rsidR="003940E8" w:rsidRPr="006F14E7">
        <w:rPr>
          <w:rFonts w:ascii="Times New Roman" w:hAnsi="Times New Roman" w:cs="Times New Roman"/>
          <w:sz w:val="24"/>
          <w:szCs w:val="24"/>
        </w:rPr>
        <w:t>erminación social de la salud en</w:t>
      </w:r>
      <w:r w:rsidR="006B38C9" w:rsidRPr="006F14E7">
        <w:rPr>
          <w:rFonts w:ascii="Times New Roman" w:hAnsi="Times New Roman" w:cs="Times New Roman"/>
          <w:sz w:val="24"/>
          <w:szCs w:val="24"/>
        </w:rPr>
        <w:t xml:space="preserve"> la población mexicana y su vínculo con la vulnerabilidad frente a la pandemia por </w:t>
      </w:r>
      <w:proofErr w:type="spellStart"/>
      <w:r w:rsidR="006B38C9" w:rsidRPr="006F14E7">
        <w:rPr>
          <w:rFonts w:ascii="Times New Roman" w:hAnsi="Times New Roman" w:cs="Times New Roman"/>
          <w:sz w:val="24"/>
          <w:szCs w:val="24"/>
        </w:rPr>
        <w:t>Covid</w:t>
      </w:r>
      <w:proofErr w:type="spellEnd"/>
      <w:r w:rsidR="006B38C9" w:rsidRPr="006F14E7">
        <w:rPr>
          <w:rFonts w:ascii="Times New Roman" w:hAnsi="Times New Roman" w:cs="Times New Roman"/>
          <w:sz w:val="24"/>
          <w:szCs w:val="24"/>
        </w:rPr>
        <w:t xml:space="preserve"> 19, se desarrolló un recorrido socio histórico que abordó </w:t>
      </w:r>
      <w:r w:rsidR="003940E8" w:rsidRPr="006F14E7">
        <w:rPr>
          <w:rFonts w:ascii="Times New Roman" w:hAnsi="Times New Roman" w:cs="Times New Roman"/>
          <w:sz w:val="24"/>
          <w:szCs w:val="24"/>
        </w:rPr>
        <w:t xml:space="preserve">5 categorías de análisis:  </w:t>
      </w:r>
      <w:r w:rsidR="003940E8" w:rsidRPr="006F14E7">
        <w:rPr>
          <w:rFonts w:ascii="Times New Roman" w:hAnsi="Times New Roman" w:cs="Times New Roman"/>
          <w:i/>
          <w:sz w:val="24"/>
          <w:szCs w:val="24"/>
        </w:rPr>
        <w:t>escolaridad, pobreza, acceso a servicios de salud y servicios básicos de vivienda</w:t>
      </w:r>
      <w:r w:rsidR="006B38C9" w:rsidRPr="006F14E7">
        <w:rPr>
          <w:rFonts w:ascii="Times New Roman" w:hAnsi="Times New Roman" w:cs="Times New Roman"/>
          <w:sz w:val="24"/>
          <w:szCs w:val="24"/>
        </w:rPr>
        <w:t xml:space="preserve">, </w:t>
      </w:r>
      <w:r w:rsidR="003940E8" w:rsidRPr="006F14E7">
        <w:rPr>
          <w:rFonts w:ascii="Times New Roman" w:hAnsi="Times New Roman" w:cs="Times New Roman"/>
          <w:sz w:val="24"/>
          <w:szCs w:val="24"/>
        </w:rPr>
        <w:t xml:space="preserve">todos estos campos de </w:t>
      </w:r>
      <w:proofErr w:type="spellStart"/>
      <w:r w:rsidR="003940E8" w:rsidRPr="006F14E7">
        <w:rPr>
          <w:rFonts w:ascii="Times New Roman" w:hAnsi="Times New Roman" w:cs="Times New Roman"/>
          <w:sz w:val="24"/>
          <w:szCs w:val="24"/>
        </w:rPr>
        <w:t>analisis</w:t>
      </w:r>
      <w:proofErr w:type="spellEnd"/>
      <w:r w:rsidR="006B38C9" w:rsidRPr="006F14E7">
        <w:rPr>
          <w:rFonts w:ascii="Times New Roman" w:hAnsi="Times New Roman" w:cs="Times New Roman"/>
          <w:sz w:val="24"/>
          <w:szCs w:val="24"/>
        </w:rPr>
        <w:t xml:space="preserve"> </w:t>
      </w:r>
      <w:r w:rsidR="003940E8" w:rsidRPr="006F14E7">
        <w:rPr>
          <w:rFonts w:ascii="Times New Roman" w:hAnsi="Times New Roman" w:cs="Times New Roman"/>
          <w:sz w:val="24"/>
          <w:szCs w:val="24"/>
        </w:rPr>
        <w:t xml:space="preserve">nos ayudan a comprender </w:t>
      </w:r>
      <w:r w:rsidR="006B38C9" w:rsidRPr="006F14E7">
        <w:rPr>
          <w:rFonts w:ascii="Times New Roman" w:hAnsi="Times New Roman" w:cs="Times New Roman"/>
          <w:sz w:val="24"/>
          <w:szCs w:val="24"/>
        </w:rPr>
        <w:t xml:space="preserve">la </w:t>
      </w:r>
      <w:r w:rsidR="003940E8" w:rsidRPr="006F14E7">
        <w:rPr>
          <w:rFonts w:ascii="Times New Roman" w:hAnsi="Times New Roman" w:cs="Times New Roman"/>
          <w:sz w:val="24"/>
          <w:szCs w:val="24"/>
        </w:rPr>
        <w:t>distribución asimétrica en la cual la población mexicana enfrento a la pandemia</w:t>
      </w:r>
      <w:r w:rsidRPr="006F14E7">
        <w:rPr>
          <w:rFonts w:ascii="Times New Roman" w:hAnsi="Times New Roman" w:cs="Times New Roman"/>
          <w:sz w:val="24"/>
          <w:szCs w:val="24"/>
        </w:rPr>
        <w:t xml:space="preserve">, </w:t>
      </w:r>
      <w:r w:rsidR="003940E8" w:rsidRPr="006F14E7">
        <w:rPr>
          <w:rFonts w:ascii="Times New Roman" w:hAnsi="Times New Roman" w:cs="Times New Roman"/>
          <w:sz w:val="24"/>
          <w:szCs w:val="24"/>
        </w:rPr>
        <w:t xml:space="preserve">una </w:t>
      </w:r>
      <w:proofErr w:type="spellStart"/>
      <w:r w:rsidR="003940E8" w:rsidRPr="006F14E7">
        <w:rPr>
          <w:rFonts w:ascii="Times New Roman" w:hAnsi="Times New Roman" w:cs="Times New Roman"/>
          <w:sz w:val="24"/>
          <w:szCs w:val="24"/>
        </w:rPr>
        <w:t>determinacion</w:t>
      </w:r>
      <w:proofErr w:type="spellEnd"/>
      <w:r w:rsidR="003940E8" w:rsidRPr="006F14E7">
        <w:rPr>
          <w:rFonts w:ascii="Times New Roman" w:hAnsi="Times New Roman" w:cs="Times New Roman"/>
          <w:sz w:val="24"/>
          <w:szCs w:val="24"/>
        </w:rPr>
        <w:t xml:space="preserve"> social que nos ayuda a develar las escasas </w:t>
      </w:r>
      <w:r w:rsidR="006B38C9" w:rsidRPr="006F14E7">
        <w:rPr>
          <w:rFonts w:ascii="Times New Roman" w:hAnsi="Times New Roman" w:cs="Times New Roman"/>
          <w:sz w:val="24"/>
          <w:szCs w:val="24"/>
        </w:rPr>
        <w:t>fuentes de bienestar</w:t>
      </w:r>
      <w:r w:rsidR="003940E8" w:rsidRPr="006F14E7">
        <w:rPr>
          <w:rFonts w:ascii="Times New Roman" w:hAnsi="Times New Roman" w:cs="Times New Roman"/>
          <w:sz w:val="24"/>
          <w:szCs w:val="24"/>
        </w:rPr>
        <w:t xml:space="preserve"> social</w:t>
      </w:r>
      <w:r w:rsidR="00781756"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y</w:t>
      </w:r>
      <w:r w:rsidR="00781756" w:rsidRPr="006F14E7">
        <w:rPr>
          <w:rFonts w:ascii="Times New Roman" w:hAnsi="Times New Roman" w:cs="Times New Roman"/>
          <w:sz w:val="24"/>
          <w:szCs w:val="24"/>
        </w:rPr>
        <w:t xml:space="preserve"> la </w:t>
      </w:r>
      <w:r w:rsidR="006B38C9" w:rsidRPr="006F14E7">
        <w:rPr>
          <w:rFonts w:ascii="Times New Roman" w:hAnsi="Times New Roman" w:cs="Times New Roman"/>
          <w:sz w:val="24"/>
          <w:szCs w:val="24"/>
        </w:rPr>
        <w:t>calidad de vida diferenciados entre las regiones del país</w:t>
      </w:r>
      <w:r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 xml:space="preserve"> situación</w:t>
      </w:r>
      <w:r w:rsidRPr="006F14E7">
        <w:rPr>
          <w:rFonts w:ascii="Times New Roman" w:hAnsi="Times New Roman" w:cs="Times New Roman"/>
          <w:sz w:val="24"/>
          <w:szCs w:val="24"/>
        </w:rPr>
        <w:t xml:space="preserve"> que en el</w:t>
      </w:r>
      <w:r w:rsidR="006B38C9" w:rsidRPr="006F14E7">
        <w:rPr>
          <w:rFonts w:ascii="Times New Roman" w:hAnsi="Times New Roman" w:cs="Times New Roman"/>
          <w:sz w:val="24"/>
          <w:szCs w:val="24"/>
        </w:rPr>
        <w:t xml:space="preserve"> contexto de la pandemia por Covid-19 ampli</w:t>
      </w:r>
      <w:r w:rsidRPr="006F14E7">
        <w:rPr>
          <w:rFonts w:ascii="Times New Roman" w:hAnsi="Times New Roman" w:cs="Times New Roman"/>
          <w:sz w:val="24"/>
          <w:szCs w:val="24"/>
        </w:rPr>
        <w:t>ó</w:t>
      </w:r>
      <w:r w:rsidR="006B38C9" w:rsidRPr="006F14E7">
        <w:rPr>
          <w:rFonts w:ascii="Times New Roman" w:hAnsi="Times New Roman" w:cs="Times New Roman"/>
          <w:sz w:val="24"/>
          <w:szCs w:val="24"/>
        </w:rPr>
        <w:t xml:space="preserve"> las brechas de letalidad por co</w:t>
      </w:r>
      <w:r w:rsidR="003940E8" w:rsidRPr="006F14E7">
        <w:rPr>
          <w:rFonts w:ascii="Times New Roman" w:hAnsi="Times New Roman" w:cs="Times New Roman"/>
          <w:sz w:val="24"/>
          <w:szCs w:val="24"/>
        </w:rPr>
        <w:t>ntagio entre las entidades en toda una</w:t>
      </w:r>
      <w:r w:rsidR="006B38C9" w:rsidRPr="006F14E7">
        <w:rPr>
          <w:rFonts w:ascii="Times New Roman" w:hAnsi="Times New Roman" w:cs="Times New Roman"/>
          <w:sz w:val="24"/>
          <w:szCs w:val="24"/>
        </w:rPr>
        <w:t xml:space="preserve"> </w:t>
      </w:r>
      <w:r w:rsidR="002836D6" w:rsidRPr="006F14E7">
        <w:rPr>
          <w:rFonts w:ascii="Times New Roman" w:hAnsi="Times New Roman" w:cs="Times New Roman"/>
          <w:sz w:val="24"/>
          <w:szCs w:val="24"/>
        </w:rPr>
        <w:t>R</w:t>
      </w:r>
      <w:r w:rsidR="006B38C9" w:rsidRPr="006F14E7">
        <w:rPr>
          <w:rFonts w:ascii="Times New Roman" w:hAnsi="Times New Roman" w:cs="Times New Roman"/>
          <w:sz w:val="24"/>
          <w:szCs w:val="24"/>
        </w:rPr>
        <w:t xml:space="preserve">epública </w:t>
      </w:r>
      <w:r w:rsidR="002836D6" w:rsidRPr="006F14E7">
        <w:rPr>
          <w:rFonts w:ascii="Times New Roman" w:hAnsi="Times New Roman" w:cs="Times New Roman"/>
          <w:sz w:val="24"/>
          <w:szCs w:val="24"/>
        </w:rPr>
        <w:t>M</w:t>
      </w:r>
      <w:r w:rsidR="006B38C9" w:rsidRPr="006F14E7">
        <w:rPr>
          <w:rFonts w:ascii="Times New Roman" w:hAnsi="Times New Roman" w:cs="Times New Roman"/>
          <w:sz w:val="24"/>
          <w:szCs w:val="24"/>
        </w:rPr>
        <w:t>exicana</w:t>
      </w:r>
      <w:r w:rsidR="00781756" w:rsidRPr="006F14E7">
        <w:rPr>
          <w:rFonts w:ascii="Times New Roman" w:hAnsi="Times New Roman" w:cs="Times New Roman"/>
          <w:sz w:val="24"/>
          <w:szCs w:val="24"/>
        </w:rPr>
        <w:t xml:space="preserve"> que se ahogó entre sus propias decisiones histórico sociales</w:t>
      </w:r>
      <w:r w:rsidR="006B38C9" w:rsidRPr="006F14E7">
        <w:rPr>
          <w:rFonts w:ascii="Times New Roman" w:hAnsi="Times New Roman" w:cs="Times New Roman"/>
          <w:sz w:val="24"/>
          <w:szCs w:val="24"/>
        </w:rPr>
        <w:t>.</w:t>
      </w:r>
    </w:p>
    <w:p w14:paraId="7ADBCB00" w14:textId="1C4E0544" w:rsidR="00D7344D" w:rsidRPr="006F14E7" w:rsidRDefault="00977558"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 </w:t>
      </w:r>
    </w:p>
    <w:p w14:paraId="6D36A6F4" w14:textId="46E90B95" w:rsidR="00D6570D"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b/>
          <w:bCs/>
          <w:sz w:val="24"/>
          <w:szCs w:val="24"/>
        </w:rPr>
        <w:t>Palabras Clave:</w:t>
      </w:r>
      <w:r w:rsidR="00781756" w:rsidRPr="006F14E7">
        <w:rPr>
          <w:rFonts w:ascii="Times New Roman" w:hAnsi="Times New Roman" w:cs="Times New Roman"/>
          <w:sz w:val="24"/>
          <w:szCs w:val="24"/>
        </w:rPr>
        <w:t xml:space="preserve"> Determinación Social, Desigualdad Social, Covid-19, Escolaridad, Pobreza, Servicios de Salud, Vivienda, Pandemia, Salud, Enfermedad.</w:t>
      </w:r>
    </w:p>
    <w:p w14:paraId="46E89A1D" w14:textId="77777777" w:rsidR="00D6570D" w:rsidRPr="006F14E7" w:rsidRDefault="00D6570D" w:rsidP="009E3B50">
      <w:pPr>
        <w:spacing w:after="0" w:line="240" w:lineRule="auto"/>
        <w:jc w:val="both"/>
        <w:rPr>
          <w:rFonts w:ascii="Times New Roman" w:hAnsi="Times New Roman" w:cs="Times New Roman"/>
          <w:sz w:val="24"/>
          <w:szCs w:val="24"/>
        </w:rPr>
      </w:pPr>
    </w:p>
    <w:p w14:paraId="41F7C1A6" w14:textId="25D39EAB" w:rsidR="002E456A" w:rsidRPr="006F14E7" w:rsidRDefault="00D7344D" w:rsidP="00781756">
      <w:pPr>
        <w:spacing w:after="0" w:line="240" w:lineRule="auto"/>
        <w:jc w:val="both"/>
        <w:rPr>
          <w:rFonts w:ascii="Times New Roman" w:eastAsia="MS PGothic" w:hAnsi="Times New Roman" w:cs="Times New Roman"/>
          <w:b/>
          <w:bCs/>
          <w:color w:val="000000"/>
          <w:sz w:val="24"/>
          <w:szCs w:val="24"/>
          <w:lang w:val="en-US"/>
        </w:rPr>
      </w:pPr>
      <w:r w:rsidRPr="006F14E7">
        <w:rPr>
          <w:rFonts w:ascii="Times New Roman" w:eastAsia="MS PGothic" w:hAnsi="Times New Roman" w:cs="Times New Roman"/>
          <w:b/>
          <w:bCs/>
          <w:color w:val="000000"/>
          <w:sz w:val="24"/>
          <w:szCs w:val="24"/>
          <w:lang w:val="en-US"/>
        </w:rPr>
        <w:t>Abstract:</w:t>
      </w:r>
      <w:r w:rsidRPr="006F14E7">
        <w:rPr>
          <w:rFonts w:ascii="Times New Roman" w:eastAsia="MS PGothic" w:hAnsi="Times New Roman" w:cs="Times New Roman"/>
          <w:color w:val="000000"/>
          <w:sz w:val="24"/>
          <w:szCs w:val="24"/>
          <w:lang w:val="en-US"/>
        </w:rPr>
        <w:t xml:space="preserve"> </w:t>
      </w:r>
      <w:r w:rsidR="00781756" w:rsidRPr="006F14E7">
        <w:rPr>
          <w:rFonts w:ascii="Times New Roman" w:eastAsia="MS PGothic" w:hAnsi="Times New Roman" w:cs="Times New Roman"/>
          <w:color w:val="000000"/>
          <w:sz w:val="24"/>
          <w:szCs w:val="24"/>
          <w:lang w:val="en-US"/>
        </w:rPr>
        <w:t xml:space="preserve">This article helps us understand the social determination of health in the Mexican population and its link with vulnerability to the </w:t>
      </w:r>
      <w:proofErr w:type="spellStart"/>
      <w:r w:rsidR="00781756" w:rsidRPr="006F14E7">
        <w:rPr>
          <w:rFonts w:ascii="Times New Roman" w:eastAsia="MS PGothic" w:hAnsi="Times New Roman" w:cs="Times New Roman"/>
          <w:color w:val="000000"/>
          <w:sz w:val="24"/>
          <w:szCs w:val="24"/>
          <w:lang w:val="en-US"/>
        </w:rPr>
        <w:t>Covid</w:t>
      </w:r>
      <w:proofErr w:type="spellEnd"/>
      <w:r w:rsidR="00781756" w:rsidRPr="006F14E7">
        <w:rPr>
          <w:rFonts w:ascii="Times New Roman" w:eastAsia="MS PGothic" w:hAnsi="Times New Roman" w:cs="Times New Roman"/>
          <w:color w:val="000000"/>
          <w:sz w:val="24"/>
          <w:szCs w:val="24"/>
          <w:lang w:val="en-US"/>
        </w:rPr>
        <w:t xml:space="preserve"> 19 pandemic, a socio-historical journey was developed that addressed 5 categories of analysis: schooling, poverty, access to services health and basic housing services, all these fields of analysis help us to understand the asymmetric distribution in which the Mexican population faced the pandemic, a social determination that helps us to reveal the scarce sources of social welfare and quality of life differentiated between the regions of the country, a situation that in the context of the Covid-19 pandemic widened the lethality gaps due to contagion between entities in an entire Mexican Republic that drowned between its own historical social decisions.</w:t>
      </w:r>
    </w:p>
    <w:p w14:paraId="44BD2AA7" w14:textId="6C613851" w:rsidR="005155AA" w:rsidRPr="006F14E7" w:rsidRDefault="00977558" w:rsidP="009E3B50">
      <w:pPr>
        <w:spacing w:after="0" w:line="240" w:lineRule="auto"/>
        <w:rPr>
          <w:rFonts w:ascii="Times New Roman" w:eastAsia="MS PGothic" w:hAnsi="Times New Roman" w:cs="Times New Roman"/>
          <w:color w:val="000000"/>
          <w:sz w:val="24"/>
          <w:szCs w:val="24"/>
          <w:lang w:val="en-US"/>
        </w:rPr>
      </w:pPr>
      <w:r w:rsidRPr="006F14E7">
        <w:rPr>
          <w:rFonts w:ascii="Times New Roman" w:eastAsia="MS PGothic" w:hAnsi="Times New Roman" w:cs="Times New Roman"/>
          <w:b/>
          <w:bCs/>
          <w:color w:val="000000"/>
          <w:sz w:val="24"/>
          <w:szCs w:val="24"/>
          <w:lang w:val="en-US"/>
        </w:rPr>
        <w:t>Key Words:</w:t>
      </w:r>
      <w:r w:rsidRPr="006F14E7">
        <w:rPr>
          <w:rFonts w:ascii="Times New Roman" w:eastAsia="MS PGothic" w:hAnsi="Times New Roman" w:cs="Times New Roman"/>
          <w:color w:val="000000"/>
          <w:sz w:val="24"/>
          <w:szCs w:val="24"/>
          <w:lang w:val="en-US"/>
        </w:rPr>
        <w:t xml:space="preserve"> </w:t>
      </w:r>
      <w:r w:rsidR="00781756" w:rsidRPr="006F14E7">
        <w:rPr>
          <w:rFonts w:ascii="Times New Roman" w:eastAsia="MS PGothic" w:hAnsi="Times New Roman" w:cs="Times New Roman"/>
          <w:color w:val="000000"/>
          <w:sz w:val="24"/>
          <w:szCs w:val="24"/>
          <w:lang w:val="en-US"/>
        </w:rPr>
        <w:t>Social Determination, Social Inequality, Covid-19, Schooling, Poverty, Health Services, Housing, Pandemic, Health, Disease.</w:t>
      </w:r>
    </w:p>
    <w:p w14:paraId="2EA7FF24" w14:textId="7DF3C5AA" w:rsidR="006E0697" w:rsidRPr="006F14E7" w:rsidRDefault="006E0697" w:rsidP="009E3B50">
      <w:pPr>
        <w:spacing w:after="0" w:line="240" w:lineRule="auto"/>
        <w:rPr>
          <w:rFonts w:ascii="Times New Roman" w:eastAsia="MS PGothic" w:hAnsi="Times New Roman" w:cs="Times New Roman"/>
          <w:color w:val="000000"/>
          <w:sz w:val="24"/>
          <w:szCs w:val="24"/>
          <w:lang w:val="en-US"/>
        </w:rPr>
      </w:pPr>
    </w:p>
    <w:p w14:paraId="0BF316CD" w14:textId="77777777" w:rsidR="006E0697" w:rsidRPr="006F14E7" w:rsidRDefault="006E0697" w:rsidP="009E3B50">
      <w:pPr>
        <w:spacing w:after="0" w:line="240" w:lineRule="auto"/>
        <w:rPr>
          <w:rFonts w:ascii="Times New Roman" w:eastAsia="MS PGothic" w:hAnsi="Times New Roman" w:cs="Times New Roman"/>
          <w:color w:val="000000"/>
          <w:sz w:val="24"/>
          <w:szCs w:val="24"/>
          <w:lang w:val="en-US"/>
        </w:rPr>
      </w:pPr>
    </w:p>
    <w:p w14:paraId="09DD5B38" w14:textId="4B7BC8A4" w:rsidR="002E456A" w:rsidRPr="006F14E7" w:rsidRDefault="005414F7" w:rsidP="002E456A">
      <w:pPr>
        <w:pStyle w:val="Prrafodelista"/>
        <w:numPr>
          <w:ilvl w:val="0"/>
          <w:numId w:val="24"/>
        </w:numPr>
        <w:spacing w:after="0" w:line="240" w:lineRule="auto"/>
        <w:jc w:val="center"/>
        <w:rPr>
          <w:rFonts w:ascii="Times New Roman" w:hAnsi="Times New Roman" w:cs="Times New Roman"/>
          <w:b/>
          <w:bCs/>
          <w:sz w:val="24"/>
          <w:szCs w:val="24"/>
        </w:rPr>
      </w:pPr>
      <w:r w:rsidRPr="006F14E7">
        <w:rPr>
          <w:rFonts w:ascii="Times New Roman" w:hAnsi="Times New Roman" w:cs="Times New Roman"/>
          <w:b/>
          <w:bCs/>
          <w:sz w:val="24"/>
          <w:szCs w:val="24"/>
        </w:rPr>
        <w:t>INTRODUCCIÓN</w:t>
      </w:r>
    </w:p>
    <w:p w14:paraId="153434A0" w14:textId="77777777" w:rsidR="003433D9" w:rsidRPr="006F14E7" w:rsidRDefault="003433D9" w:rsidP="009174CB">
      <w:pPr>
        <w:autoSpaceDE w:val="0"/>
        <w:autoSpaceDN w:val="0"/>
        <w:adjustRightInd w:val="0"/>
        <w:spacing w:after="0" w:line="240" w:lineRule="auto"/>
        <w:jc w:val="both"/>
        <w:rPr>
          <w:rFonts w:ascii="Times New Roman" w:hAnsi="Times New Roman" w:cs="Times New Roman"/>
          <w:sz w:val="24"/>
          <w:szCs w:val="24"/>
        </w:rPr>
      </w:pPr>
    </w:p>
    <w:p w14:paraId="2910349B" w14:textId="5860CF33" w:rsidR="009174CB" w:rsidRPr="006F14E7" w:rsidRDefault="006B38C9" w:rsidP="009174CB">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A finales de</w:t>
      </w:r>
      <w:r w:rsidR="00230936" w:rsidRPr="006F14E7">
        <w:rPr>
          <w:rFonts w:ascii="Times New Roman" w:hAnsi="Times New Roman" w:cs="Times New Roman"/>
          <w:sz w:val="24"/>
          <w:szCs w:val="24"/>
        </w:rPr>
        <w:t xml:space="preserve"> la década de 1970, </w:t>
      </w:r>
      <w:r w:rsidRPr="006F14E7">
        <w:rPr>
          <w:rFonts w:ascii="Times New Roman" w:hAnsi="Times New Roman" w:cs="Times New Roman"/>
          <w:sz w:val="24"/>
          <w:szCs w:val="24"/>
        </w:rPr>
        <w:t xml:space="preserve">la caída del precio internacional del petróleo provocó una de las crisis económicas más fuertes en la historia de </w:t>
      </w:r>
      <w:r w:rsidR="00D41831" w:rsidRPr="006F14E7">
        <w:rPr>
          <w:rFonts w:ascii="Times New Roman" w:hAnsi="Times New Roman" w:cs="Times New Roman"/>
          <w:sz w:val="24"/>
          <w:szCs w:val="24"/>
        </w:rPr>
        <w:t>México</w:t>
      </w:r>
      <w:r w:rsidRPr="006F14E7">
        <w:rPr>
          <w:rFonts w:ascii="Times New Roman" w:hAnsi="Times New Roman" w:cs="Times New Roman"/>
          <w:sz w:val="24"/>
          <w:szCs w:val="24"/>
        </w:rPr>
        <w:t xml:space="preserve">, y al carecer </w:t>
      </w:r>
      <w:r w:rsidR="00281AE0" w:rsidRPr="006F14E7">
        <w:rPr>
          <w:rFonts w:ascii="Times New Roman" w:hAnsi="Times New Roman" w:cs="Times New Roman"/>
          <w:sz w:val="24"/>
          <w:szCs w:val="24"/>
        </w:rPr>
        <w:t>de fondos</w:t>
      </w:r>
      <w:r w:rsidRPr="006F14E7">
        <w:rPr>
          <w:rFonts w:ascii="Times New Roman" w:hAnsi="Times New Roman" w:cs="Times New Roman"/>
          <w:sz w:val="24"/>
          <w:szCs w:val="24"/>
        </w:rPr>
        <w:t xml:space="preserve"> </w:t>
      </w:r>
      <w:r w:rsidR="00281AE0" w:rsidRPr="006F14E7">
        <w:rPr>
          <w:rFonts w:ascii="Times New Roman" w:hAnsi="Times New Roman" w:cs="Times New Roman"/>
          <w:sz w:val="24"/>
          <w:szCs w:val="24"/>
        </w:rPr>
        <w:t>para costearla</w:t>
      </w:r>
      <w:r w:rsidRPr="006F14E7">
        <w:rPr>
          <w:rFonts w:ascii="Times New Roman" w:hAnsi="Times New Roman" w:cs="Times New Roman"/>
          <w:sz w:val="24"/>
          <w:szCs w:val="24"/>
        </w:rPr>
        <w:t xml:space="preserve">, </w:t>
      </w:r>
      <w:r w:rsidR="00194527" w:rsidRPr="006F14E7">
        <w:rPr>
          <w:rFonts w:ascii="Times New Roman" w:hAnsi="Times New Roman" w:cs="Times New Roman"/>
          <w:sz w:val="24"/>
          <w:szCs w:val="24"/>
        </w:rPr>
        <w:t xml:space="preserve">el gobierno mexicano </w:t>
      </w:r>
      <w:r w:rsidRPr="006F14E7">
        <w:rPr>
          <w:rFonts w:ascii="Times New Roman" w:hAnsi="Times New Roman" w:cs="Times New Roman"/>
          <w:sz w:val="24"/>
          <w:szCs w:val="24"/>
        </w:rPr>
        <w:t xml:space="preserve">recurrió al endeudamiento externo, financiamiento </w:t>
      </w:r>
      <w:r w:rsidR="00281AE0" w:rsidRPr="006F14E7">
        <w:rPr>
          <w:rFonts w:ascii="Times New Roman" w:hAnsi="Times New Roman" w:cs="Times New Roman"/>
          <w:sz w:val="24"/>
          <w:szCs w:val="24"/>
        </w:rPr>
        <w:t>que fue</w:t>
      </w:r>
      <w:r w:rsidRPr="006F14E7">
        <w:rPr>
          <w:rFonts w:ascii="Times New Roman" w:hAnsi="Times New Roman" w:cs="Times New Roman"/>
          <w:sz w:val="24"/>
          <w:szCs w:val="24"/>
        </w:rPr>
        <w:t xml:space="preserve"> otorgado a cambio </w:t>
      </w:r>
      <w:r w:rsidR="00950495" w:rsidRPr="006F14E7">
        <w:rPr>
          <w:rFonts w:ascii="Times New Roman" w:hAnsi="Times New Roman" w:cs="Times New Roman"/>
          <w:sz w:val="24"/>
          <w:szCs w:val="24"/>
        </w:rPr>
        <w:t>de compromisos</w:t>
      </w:r>
      <w:r w:rsidR="00194527" w:rsidRPr="006F14E7">
        <w:rPr>
          <w:rFonts w:ascii="Times New Roman" w:hAnsi="Times New Roman" w:cs="Times New Roman"/>
          <w:sz w:val="24"/>
          <w:szCs w:val="24"/>
        </w:rPr>
        <w:t xml:space="preserve"> políticos</w:t>
      </w:r>
      <w:r w:rsidR="009174CB" w:rsidRPr="006F14E7">
        <w:rPr>
          <w:rFonts w:ascii="Times New Roman" w:hAnsi="Times New Roman" w:cs="Times New Roman"/>
          <w:sz w:val="24"/>
          <w:szCs w:val="24"/>
        </w:rPr>
        <w:t xml:space="preserve"> con el Fondo Monetario Internacional (FMI), como fue la implementación de las reformas estructurales, las cuales consistieron en replantear el papel del Estado y su intervención en la vida social. Tales reformas radicaron en “la desregulación de los mercados financieros y de las relaciones laborales, la privatización y la desmonopolización (…) que prometían la recuperación y crecimiento económico y el bienestar de la sociedad</w:t>
      </w:r>
      <w:proofErr w:type="gramStart"/>
      <w:r w:rsidR="009174CB" w:rsidRPr="006F14E7">
        <w:rPr>
          <w:rFonts w:ascii="Times New Roman" w:hAnsi="Times New Roman" w:cs="Times New Roman"/>
          <w:sz w:val="24"/>
          <w:szCs w:val="24"/>
        </w:rPr>
        <w:t>”</w:t>
      </w:r>
      <w:r w:rsidR="00E25E3C" w:rsidRPr="006F14E7">
        <w:rPr>
          <w:rFonts w:ascii="Times New Roman" w:hAnsi="Times New Roman" w:cs="Times New Roman"/>
          <w:sz w:val="24"/>
          <w:szCs w:val="24"/>
          <w:vertAlign w:val="superscript"/>
        </w:rPr>
        <w:t>(</w:t>
      </w:r>
      <w:proofErr w:type="gramEnd"/>
      <w:r w:rsidR="00E25E3C" w:rsidRPr="006F14E7">
        <w:rPr>
          <w:rFonts w:ascii="Times New Roman" w:hAnsi="Times New Roman" w:cs="Times New Roman"/>
          <w:sz w:val="24"/>
          <w:szCs w:val="24"/>
          <w:vertAlign w:val="superscript"/>
        </w:rPr>
        <w:t>1</w:t>
      </w:r>
      <w:r w:rsidR="009174CB" w:rsidRPr="006F14E7">
        <w:rPr>
          <w:rFonts w:ascii="Times New Roman" w:hAnsi="Times New Roman" w:cs="Times New Roman"/>
          <w:sz w:val="24"/>
          <w:szCs w:val="24"/>
          <w:vertAlign w:val="superscript"/>
        </w:rPr>
        <w:t>)</w:t>
      </w:r>
    </w:p>
    <w:p w14:paraId="26627B10" w14:textId="2B17E1FE" w:rsidR="009174CB" w:rsidRPr="006F14E7" w:rsidRDefault="009174CB" w:rsidP="009174CB">
      <w:pPr>
        <w:autoSpaceDE w:val="0"/>
        <w:autoSpaceDN w:val="0"/>
        <w:adjustRightInd w:val="0"/>
        <w:spacing w:after="0" w:line="240" w:lineRule="auto"/>
        <w:jc w:val="both"/>
        <w:rPr>
          <w:rFonts w:ascii="Times New Roman" w:hAnsi="Times New Roman" w:cs="Times New Roman"/>
          <w:sz w:val="24"/>
          <w:szCs w:val="24"/>
        </w:rPr>
      </w:pPr>
    </w:p>
    <w:p w14:paraId="65D4A3CE" w14:textId="6369CEF9" w:rsidR="003129FB" w:rsidRPr="006F14E7" w:rsidRDefault="00A65CB3" w:rsidP="007A3D42">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Si bien, los fundamentos discursivos de las reformas estructurales poseyeron un carácter modernizador del Estado, también implicaron </w:t>
      </w:r>
      <w:r w:rsidR="00480964" w:rsidRPr="006F14E7">
        <w:rPr>
          <w:rFonts w:ascii="Times New Roman" w:hAnsi="Times New Roman" w:cs="Times New Roman"/>
          <w:sz w:val="24"/>
          <w:szCs w:val="24"/>
        </w:rPr>
        <w:t>su</w:t>
      </w:r>
      <w:r w:rsidR="007A3D42" w:rsidRPr="006F14E7">
        <w:rPr>
          <w:rFonts w:ascii="Times New Roman" w:hAnsi="Times New Roman" w:cs="Times New Roman"/>
          <w:sz w:val="24"/>
          <w:szCs w:val="24"/>
        </w:rPr>
        <w:t xml:space="preserve"> adelgazamiento</w:t>
      </w:r>
      <w:r w:rsidRPr="006F14E7">
        <w:rPr>
          <w:rFonts w:ascii="Times New Roman" w:hAnsi="Times New Roman" w:cs="Times New Roman"/>
          <w:sz w:val="24"/>
          <w:szCs w:val="24"/>
        </w:rPr>
        <w:t>, además de</w:t>
      </w:r>
      <w:r w:rsidR="007A3D42" w:rsidRPr="006F14E7">
        <w:rPr>
          <w:rFonts w:ascii="Times New Roman" w:hAnsi="Times New Roman" w:cs="Times New Roman"/>
          <w:sz w:val="24"/>
          <w:szCs w:val="24"/>
        </w:rPr>
        <w:t>l recorte del gasto público, argumentado</w:t>
      </w:r>
      <w:r w:rsidRPr="006F14E7">
        <w:rPr>
          <w:rFonts w:ascii="Times New Roman" w:hAnsi="Times New Roman" w:cs="Times New Roman"/>
          <w:sz w:val="24"/>
          <w:szCs w:val="24"/>
        </w:rPr>
        <w:t xml:space="preserve"> </w:t>
      </w:r>
      <w:r w:rsidR="007A3D42" w:rsidRPr="006F14E7">
        <w:rPr>
          <w:rFonts w:ascii="Times New Roman" w:hAnsi="Times New Roman" w:cs="Times New Roman"/>
          <w:sz w:val="24"/>
          <w:szCs w:val="24"/>
        </w:rPr>
        <w:t>por la crisis</w:t>
      </w:r>
      <w:r w:rsidR="001339F2" w:rsidRPr="006F14E7">
        <w:rPr>
          <w:rFonts w:ascii="Times New Roman" w:hAnsi="Times New Roman" w:cs="Times New Roman"/>
          <w:sz w:val="24"/>
          <w:szCs w:val="24"/>
        </w:rPr>
        <w:t xml:space="preserve"> </w:t>
      </w:r>
      <w:r w:rsidR="00C71AFB" w:rsidRPr="006F14E7">
        <w:rPr>
          <w:rFonts w:ascii="Times New Roman" w:hAnsi="Times New Roman" w:cs="Times New Roman"/>
          <w:sz w:val="24"/>
          <w:szCs w:val="24"/>
        </w:rPr>
        <w:t>económica</w:t>
      </w:r>
      <w:r w:rsidRPr="006F14E7">
        <w:rPr>
          <w:rFonts w:ascii="Times New Roman" w:hAnsi="Times New Roman" w:cs="Times New Roman"/>
          <w:sz w:val="24"/>
          <w:szCs w:val="24"/>
        </w:rPr>
        <w:t>. De esta manera la política social se desarrolló a partir de entonces al margen de “tres estrategias: privatización, descentralización y focalización</w:t>
      </w:r>
      <w:proofErr w:type="gramStart"/>
      <w:r w:rsidRPr="006F14E7">
        <w:rPr>
          <w:rFonts w:ascii="Times New Roman" w:hAnsi="Times New Roman" w:cs="Times New Roman"/>
          <w:sz w:val="24"/>
          <w:szCs w:val="24"/>
        </w:rPr>
        <w:t>”</w:t>
      </w:r>
      <w:r w:rsidR="00E25E3C" w:rsidRPr="006F14E7">
        <w:rPr>
          <w:rFonts w:ascii="Times New Roman" w:hAnsi="Times New Roman" w:cs="Times New Roman"/>
          <w:sz w:val="24"/>
          <w:szCs w:val="24"/>
          <w:vertAlign w:val="superscript"/>
        </w:rPr>
        <w:t>(</w:t>
      </w:r>
      <w:proofErr w:type="gramEnd"/>
      <w:r w:rsidR="00E25E3C" w:rsidRPr="006F14E7">
        <w:rPr>
          <w:rFonts w:ascii="Times New Roman" w:hAnsi="Times New Roman" w:cs="Times New Roman"/>
          <w:sz w:val="24"/>
          <w:szCs w:val="24"/>
          <w:vertAlign w:val="superscript"/>
        </w:rPr>
        <w:t>1</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y dirigida exclusivamente a los más pobres. Ello radicó en el supuesto de que la apertura </w:t>
      </w:r>
      <w:r w:rsidR="007A3D42" w:rsidRPr="006F14E7">
        <w:rPr>
          <w:rFonts w:ascii="Times New Roman" w:hAnsi="Times New Roman" w:cs="Times New Roman"/>
          <w:sz w:val="24"/>
          <w:szCs w:val="24"/>
        </w:rPr>
        <w:t xml:space="preserve">comercial </w:t>
      </w:r>
      <w:r w:rsidR="009174CB" w:rsidRPr="006F14E7">
        <w:rPr>
          <w:rFonts w:ascii="Times New Roman" w:hAnsi="Times New Roman" w:cs="Times New Roman"/>
          <w:sz w:val="24"/>
          <w:szCs w:val="24"/>
        </w:rPr>
        <w:t>inici</w:t>
      </w:r>
      <w:r w:rsidR="008D15CE" w:rsidRPr="006F14E7">
        <w:rPr>
          <w:rFonts w:ascii="Times New Roman" w:hAnsi="Times New Roman" w:cs="Times New Roman"/>
          <w:sz w:val="24"/>
          <w:szCs w:val="24"/>
        </w:rPr>
        <w:t>a</w:t>
      </w:r>
      <w:r w:rsidR="00630524" w:rsidRPr="006F14E7">
        <w:rPr>
          <w:rFonts w:ascii="Times New Roman" w:hAnsi="Times New Roman" w:cs="Times New Roman"/>
          <w:sz w:val="24"/>
          <w:szCs w:val="24"/>
        </w:rPr>
        <w:t>da</w:t>
      </w:r>
      <w:r w:rsidR="009174CB" w:rsidRPr="006F14E7">
        <w:rPr>
          <w:rFonts w:ascii="Times New Roman" w:hAnsi="Times New Roman" w:cs="Times New Roman"/>
          <w:sz w:val="24"/>
          <w:szCs w:val="24"/>
        </w:rPr>
        <w:t xml:space="preserve"> en 1986 con </w:t>
      </w:r>
      <w:r w:rsidR="00630524" w:rsidRPr="006F14E7">
        <w:rPr>
          <w:rFonts w:ascii="Times New Roman" w:hAnsi="Times New Roman" w:cs="Times New Roman"/>
          <w:sz w:val="24"/>
          <w:szCs w:val="24"/>
        </w:rPr>
        <w:t xml:space="preserve">la </w:t>
      </w:r>
      <w:r w:rsidR="009174CB" w:rsidRPr="006F14E7">
        <w:rPr>
          <w:rFonts w:ascii="Times New Roman" w:hAnsi="Times New Roman" w:cs="Times New Roman"/>
          <w:sz w:val="24"/>
          <w:szCs w:val="24"/>
        </w:rPr>
        <w:t>incorpor</w:t>
      </w:r>
      <w:r w:rsidR="00630524" w:rsidRPr="006F14E7">
        <w:rPr>
          <w:rFonts w:ascii="Times New Roman" w:hAnsi="Times New Roman" w:cs="Times New Roman"/>
          <w:sz w:val="24"/>
          <w:szCs w:val="24"/>
        </w:rPr>
        <w:t>ación de</w:t>
      </w:r>
      <w:r w:rsidR="009174CB" w:rsidRPr="006F14E7">
        <w:rPr>
          <w:rFonts w:ascii="Times New Roman" w:hAnsi="Times New Roman" w:cs="Times New Roman"/>
          <w:sz w:val="24"/>
          <w:szCs w:val="24"/>
        </w:rPr>
        <w:t xml:space="preserve"> México al GATT y </w:t>
      </w:r>
      <w:r w:rsidR="008D15CE" w:rsidRPr="006F14E7">
        <w:rPr>
          <w:rFonts w:ascii="Times New Roman" w:hAnsi="Times New Roman" w:cs="Times New Roman"/>
          <w:sz w:val="24"/>
          <w:szCs w:val="24"/>
        </w:rPr>
        <w:t>al</w:t>
      </w:r>
      <w:r w:rsidR="009174CB" w:rsidRPr="006F14E7">
        <w:rPr>
          <w:rFonts w:ascii="Times New Roman" w:hAnsi="Times New Roman" w:cs="Times New Roman"/>
          <w:sz w:val="24"/>
          <w:szCs w:val="24"/>
        </w:rPr>
        <w:t xml:space="preserve"> </w:t>
      </w:r>
      <w:r w:rsidR="008D15CE" w:rsidRPr="006F14E7">
        <w:rPr>
          <w:rFonts w:ascii="Times New Roman" w:hAnsi="Times New Roman" w:cs="Times New Roman"/>
          <w:sz w:val="24"/>
          <w:szCs w:val="24"/>
        </w:rPr>
        <w:t>T</w:t>
      </w:r>
      <w:r w:rsidR="009174CB" w:rsidRPr="006F14E7">
        <w:rPr>
          <w:rFonts w:ascii="Times New Roman" w:hAnsi="Times New Roman" w:cs="Times New Roman"/>
          <w:sz w:val="24"/>
          <w:szCs w:val="24"/>
        </w:rPr>
        <w:t xml:space="preserve">ratado de Libre </w:t>
      </w:r>
      <w:r w:rsidR="00630524" w:rsidRPr="006F14E7">
        <w:rPr>
          <w:rFonts w:ascii="Times New Roman" w:hAnsi="Times New Roman" w:cs="Times New Roman"/>
          <w:sz w:val="24"/>
          <w:szCs w:val="24"/>
        </w:rPr>
        <w:t>C</w:t>
      </w:r>
      <w:r w:rsidR="009174CB" w:rsidRPr="006F14E7">
        <w:rPr>
          <w:rFonts w:ascii="Times New Roman" w:hAnsi="Times New Roman" w:cs="Times New Roman"/>
          <w:sz w:val="24"/>
          <w:szCs w:val="24"/>
        </w:rPr>
        <w:t xml:space="preserve">omercio de América de Norte (TLCAN), </w:t>
      </w:r>
      <w:r w:rsidR="00630524" w:rsidRPr="006F14E7">
        <w:rPr>
          <w:rFonts w:ascii="Times New Roman" w:hAnsi="Times New Roman" w:cs="Times New Roman"/>
          <w:sz w:val="24"/>
          <w:szCs w:val="24"/>
        </w:rPr>
        <w:t>reactivaría</w:t>
      </w:r>
      <w:r w:rsidR="00480964" w:rsidRPr="006F14E7">
        <w:rPr>
          <w:rFonts w:ascii="Times New Roman" w:hAnsi="Times New Roman" w:cs="Times New Roman"/>
          <w:sz w:val="24"/>
          <w:szCs w:val="24"/>
        </w:rPr>
        <w:t>n</w:t>
      </w:r>
      <w:r w:rsidR="00630524" w:rsidRPr="006F14E7">
        <w:rPr>
          <w:rFonts w:ascii="Times New Roman" w:hAnsi="Times New Roman" w:cs="Times New Roman"/>
          <w:sz w:val="24"/>
          <w:szCs w:val="24"/>
        </w:rPr>
        <w:t xml:space="preserve"> la economía, absorbiendo la demanda de trabajo, además de mejorar los salarios, situación que mejoraría automáticamente las condiciones de vida de la población mexicana</w:t>
      </w:r>
      <w:r w:rsidR="001339F2" w:rsidRPr="006F14E7">
        <w:rPr>
          <w:rFonts w:ascii="Times New Roman" w:hAnsi="Times New Roman" w:cs="Times New Roman"/>
          <w:sz w:val="24"/>
          <w:szCs w:val="24"/>
        </w:rPr>
        <w:t>, y</w:t>
      </w:r>
      <w:r w:rsidR="00630524" w:rsidRPr="006F14E7">
        <w:rPr>
          <w:rFonts w:ascii="Times New Roman" w:hAnsi="Times New Roman" w:cs="Times New Roman"/>
        </w:rPr>
        <w:t xml:space="preserve"> </w:t>
      </w:r>
      <w:r w:rsidR="001339F2" w:rsidRPr="006F14E7">
        <w:rPr>
          <w:rFonts w:ascii="Times New Roman" w:hAnsi="Times New Roman" w:cs="Times New Roman"/>
          <w:sz w:val="24"/>
          <w:szCs w:val="24"/>
        </w:rPr>
        <w:t>p</w:t>
      </w:r>
      <w:r w:rsidR="00630524" w:rsidRPr="006F14E7">
        <w:rPr>
          <w:rFonts w:ascii="Times New Roman" w:hAnsi="Times New Roman" w:cs="Times New Roman"/>
          <w:sz w:val="24"/>
          <w:szCs w:val="24"/>
        </w:rPr>
        <w:t xml:space="preserve">or consecuencia el Estado ya no habría </w:t>
      </w:r>
      <w:r w:rsidR="007A3D42" w:rsidRPr="006F14E7">
        <w:rPr>
          <w:rFonts w:ascii="Times New Roman" w:hAnsi="Times New Roman" w:cs="Times New Roman"/>
          <w:sz w:val="24"/>
          <w:szCs w:val="24"/>
        </w:rPr>
        <w:t>que instrumentar</w:t>
      </w:r>
      <w:r w:rsidR="00630524" w:rsidRPr="006F14E7">
        <w:rPr>
          <w:rFonts w:ascii="Times New Roman" w:hAnsi="Times New Roman" w:cs="Times New Roman"/>
          <w:sz w:val="24"/>
          <w:szCs w:val="24"/>
        </w:rPr>
        <w:t xml:space="preserve"> mecanismo</w:t>
      </w:r>
      <w:r w:rsidR="001339F2" w:rsidRPr="006F14E7">
        <w:rPr>
          <w:rFonts w:ascii="Times New Roman" w:hAnsi="Times New Roman" w:cs="Times New Roman"/>
          <w:sz w:val="24"/>
          <w:szCs w:val="24"/>
        </w:rPr>
        <w:t>s</w:t>
      </w:r>
      <w:r w:rsidR="00630524" w:rsidRPr="006F14E7">
        <w:rPr>
          <w:rFonts w:ascii="Times New Roman" w:hAnsi="Times New Roman" w:cs="Times New Roman"/>
          <w:sz w:val="24"/>
          <w:szCs w:val="24"/>
        </w:rPr>
        <w:t xml:space="preserve"> de redistribución,</w:t>
      </w:r>
      <w:r w:rsidR="00480964" w:rsidRPr="006F14E7">
        <w:rPr>
          <w:rFonts w:ascii="Times New Roman" w:hAnsi="Times New Roman" w:cs="Times New Roman"/>
          <w:sz w:val="24"/>
          <w:szCs w:val="24"/>
        </w:rPr>
        <w:t xml:space="preserve"> a  través de la  política social,</w:t>
      </w:r>
      <w:r w:rsidR="00630524" w:rsidRPr="006F14E7">
        <w:rPr>
          <w:rFonts w:ascii="Times New Roman" w:hAnsi="Times New Roman" w:cs="Times New Roman"/>
          <w:sz w:val="24"/>
          <w:szCs w:val="24"/>
        </w:rPr>
        <w:t xml:space="preserve"> sal</w:t>
      </w:r>
      <w:r w:rsidR="007A3D42" w:rsidRPr="006F14E7">
        <w:rPr>
          <w:rFonts w:ascii="Times New Roman" w:hAnsi="Times New Roman" w:cs="Times New Roman"/>
          <w:sz w:val="24"/>
          <w:szCs w:val="24"/>
        </w:rPr>
        <w:t>vo</w:t>
      </w:r>
      <w:r w:rsidR="00630524" w:rsidRPr="006F14E7">
        <w:rPr>
          <w:rFonts w:ascii="Times New Roman" w:hAnsi="Times New Roman" w:cs="Times New Roman"/>
          <w:sz w:val="24"/>
          <w:szCs w:val="24"/>
        </w:rPr>
        <w:t xml:space="preserve"> para lo</w:t>
      </w:r>
      <w:r w:rsidR="001339F2" w:rsidRPr="006F14E7">
        <w:rPr>
          <w:rFonts w:ascii="Times New Roman" w:hAnsi="Times New Roman" w:cs="Times New Roman"/>
          <w:sz w:val="24"/>
          <w:szCs w:val="24"/>
        </w:rPr>
        <w:t>s</w:t>
      </w:r>
      <w:r w:rsidR="00630524" w:rsidRPr="006F14E7">
        <w:rPr>
          <w:rFonts w:ascii="Times New Roman" w:hAnsi="Times New Roman" w:cs="Times New Roman"/>
          <w:sz w:val="24"/>
          <w:szCs w:val="24"/>
        </w:rPr>
        <w:t xml:space="preserve"> </w:t>
      </w:r>
      <w:r w:rsidR="007A3D42" w:rsidRPr="006F14E7">
        <w:rPr>
          <w:rFonts w:ascii="Times New Roman" w:hAnsi="Times New Roman" w:cs="Times New Roman"/>
          <w:sz w:val="24"/>
          <w:szCs w:val="24"/>
        </w:rPr>
        <w:t>más pobres</w:t>
      </w:r>
      <w:r w:rsidR="009174CB" w:rsidRPr="006F14E7">
        <w:rPr>
          <w:rFonts w:ascii="Times New Roman" w:hAnsi="Times New Roman" w:cs="Times New Roman"/>
          <w:sz w:val="24"/>
          <w:szCs w:val="24"/>
          <w:vertAlign w:val="superscript"/>
        </w:rPr>
        <w:t>(</w:t>
      </w:r>
      <w:r w:rsidR="00E25E3C" w:rsidRPr="006F14E7">
        <w:rPr>
          <w:rFonts w:ascii="Times New Roman" w:hAnsi="Times New Roman" w:cs="Times New Roman"/>
          <w:sz w:val="24"/>
          <w:szCs w:val="24"/>
          <w:vertAlign w:val="superscript"/>
        </w:rPr>
        <w:t>2,3</w:t>
      </w:r>
      <w:r w:rsidR="009174CB" w:rsidRPr="006F14E7">
        <w:rPr>
          <w:rFonts w:ascii="Times New Roman" w:hAnsi="Times New Roman" w:cs="Times New Roman"/>
          <w:sz w:val="24"/>
          <w:szCs w:val="24"/>
          <w:vertAlign w:val="superscript"/>
        </w:rPr>
        <w:t>)</w:t>
      </w:r>
      <w:r w:rsidR="009174CB" w:rsidRPr="006F14E7">
        <w:rPr>
          <w:rFonts w:ascii="Times New Roman" w:hAnsi="Times New Roman" w:cs="Times New Roman"/>
          <w:sz w:val="24"/>
          <w:szCs w:val="24"/>
        </w:rPr>
        <w:t>. No obstante, ni los salarios, ni el poder adquisitivo de la sociedad mexicana mejoró</w:t>
      </w:r>
      <w:r w:rsidR="00EB32DF" w:rsidRPr="006F14E7">
        <w:rPr>
          <w:rFonts w:ascii="Times New Roman" w:hAnsi="Times New Roman" w:cs="Times New Roman"/>
          <w:sz w:val="24"/>
          <w:szCs w:val="24"/>
          <w:vertAlign w:val="superscript"/>
        </w:rPr>
        <w:t>(4</w:t>
      </w:r>
      <w:r w:rsidR="00E72EC0" w:rsidRPr="006F14E7">
        <w:rPr>
          <w:rFonts w:ascii="Times New Roman" w:hAnsi="Times New Roman" w:cs="Times New Roman"/>
          <w:sz w:val="24"/>
          <w:szCs w:val="24"/>
          <w:vertAlign w:val="superscript"/>
        </w:rPr>
        <w:t>)</w:t>
      </w:r>
      <w:r w:rsidR="009174CB" w:rsidRPr="006F14E7">
        <w:rPr>
          <w:rFonts w:ascii="Times New Roman" w:hAnsi="Times New Roman" w:cs="Times New Roman"/>
          <w:sz w:val="24"/>
          <w:szCs w:val="24"/>
        </w:rPr>
        <w:t>, lo cual implic</w:t>
      </w:r>
      <w:r w:rsidR="001339F2" w:rsidRPr="006F14E7">
        <w:rPr>
          <w:rFonts w:ascii="Times New Roman" w:hAnsi="Times New Roman" w:cs="Times New Roman"/>
          <w:sz w:val="24"/>
          <w:szCs w:val="24"/>
        </w:rPr>
        <w:t>ó</w:t>
      </w:r>
      <w:r w:rsidR="009174CB" w:rsidRPr="006F14E7">
        <w:rPr>
          <w:rFonts w:ascii="Times New Roman" w:hAnsi="Times New Roman" w:cs="Times New Roman"/>
          <w:sz w:val="24"/>
          <w:szCs w:val="24"/>
        </w:rPr>
        <w:t xml:space="preserve"> un </w:t>
      </w:r>
      <w:r w:rsidR="001339F2" w:rsidRPr="006F14E7">
        <w:rPr>
          <w:rFonts w:ascii="Times New Roman" w:hAnsi="Times New Roman" w:cs="Times New Roman"/>
          <w:sz w:val="24"/>
          <w:szCs w:val="24"/>
        </w:rPr>
        <w:t xml:space="preserve">histórico </w:t>
      </w:r>
      <w:r w:rsidR="009174CB" w:rsidRPr="006F14E7">
        <w:rPr>
          <w:rFonts w:ascii="Times New Roman" w:hAnsi="Times New Roman" w:cs="Times New Roman"/>
          <w:sz w:val="24"/>
          <w:szCs w:val="24"/>
        </w:rPr>
        <w:t>deterioro educativ</w:t>
      </w:r>
      <w:r w:rsidR="008D15CE" w:rsidRPr="006F14E7">
        <w:rPr>
          <w:rFonts w:ascii="Times New Roman" w:hAnsi="Times New Roman" w:cs="Times New Roman"/>
          <w:sz w:val="24"/>
          <w:szCs w:val="24"/>
        </w:rPr>
        <w:t>o</w:t>
      </w:r>
      <w:r w:rsidR="009174CB" w:rsidRPr="006F14E7">
        <w:rPr>
          <w:rFonts w:ascii="Times New Roman" w:hAnsi="Times New Roman" w:cs="Times New Roman"/>
          <w:sz w:val="24"/>
          <w:szCs w:val="24"/>
        </w:rPr>
        <w:t>, de vivienda y sanitari</w:t>
      </w:r>
      <w:r w:rsidR="008D15CE" w:rsidRPr="006F14E7">
        <w:rPr>
          <w:rFonts w:ascii="Times New Roman" w:hAnsi="Times New Roman" w:cs="Times New Roman"/>
          <w:sz w:val="24"/>
          <w:szCs w:val="24"/>
        </w:rPr>
        <w:t>o;</w:t>
      </w:r>
      <w:r w:rsidR="009174CB" w:rsidRPr="006F14E7">
        <w:rPr>
          <w:rFonts w:ascii="Times New Roman" w:hAnsi="Times New Roman" w:cs="Times New Roman"/>
          <w:sz w:val="24"/>
          <w:szCs w:val="24"/>
        </w:rPr>
        <w:t xml:space="preserve"> aspectos considerados como formas de </w:t>
      </w:r>
      <w:r w:rsidR="00C71AFB" w:rsidRPr="006F14E7">
        <w:rPr>
          <w:rFonts w:ascii="Times New Roman" w:hAnsi="Times New Roman" w:cs="Times New Roman"/>
          <w:sz w:val="24"/>
          <w:szCs w:val="24"/>
        </w:rPr>
        <w:t xml:space="preserve">determinación social de la salud, responsables en gran medida de los índices de contagio y mortalidad en </w:t>
      </w:r>
      <w:r w:rsidR="001339F2" w:rsidRPr="006F14E7">
        <w:rPr>
          <w:rFonts w:ascii="Times New Roman" w:hAnsi="Times New Roman" w:cs="Times New Roman"/>
          <w:sz w:val="24"/>
          <w:szCs w:val="24"/>
        </w:rPr>
        <w:t xml:space="preserve">el contexto de la pandemia por Covid-19 en </w:t>
      </w:r>
      <w:r w:rsidR="003129FB" w:rsidRPr="006F14E7">
        <w:rPr>
          <w:rFonts w:ascii="Times New Roman" w:hAnsi="Times New Roman" w:cs="Times New Roman"/>
          <w:sz w:val="24"/>
          <w:szCs w:val="24"/>
        </w:rPr>
        <w:t>México</w:t>
      </w:r>
      <w:r w:rsidR="00EB32DF" w:rsidRPr="006F14E7">
        <w:rPr>
          <w:rFonts w:ascii="Times New Roman" w:hAnsi="Times New Roman" w:cs="Times New Roman"/>
          <w:sz w:val="24"/>
          <w:szCs w:val="24"/>
          <w:vertAlign w:val="superscript"/>
        </w:rPr>
        <w:t>(5,6</w:t>
      </w:r>
      <w:r w:rsidR="00C71AFB" w:rsidRPr="006F14E7">
        <w:rPr>
          <w:rFonts w:ascii="Times New Roman" w:hAnsi="Times New Roman" w:cs="Times New Roman"/>
          <w:sz w:val="24"/>
          <w:szCs w:val="24"/>
          <w:vertAlign w:val="superscript"/>
        </w:rPr>
        <w:t>).</w:t>
      </w:r>
    </w:p>
    <w:p w14:paraId="10368576" w14:textId="6B73F394" w:rsidR="00A65CB3" w:rsidRPr="006F14E7" w:rsidRDefault="00A65CB3" w:rsidP="007A3D42">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5F398A25" w14:textId="5102F83D" w:rsidR="003129FB" w:rsidRPr="006F14E7" w:rsidRDefault="003129FB" w:rsidP="003129FB">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Ante este contexto, resulta relevante cuestionar la </w:t>
      </w:r>
      <w:r w:rsidR="00480964" w:rsidRPr="006F14E7">
        <w:rPr>
          <w:rFonts w:ascii="Times New Roman" w:hAnsi="Times New Roman" w:cs="Times New Roman"/>
          <w:sz w:val="24"/>
          <w:szCs w:val="24"/>
        </w:rPr>
        <w:t>vigencia</w:t>
      </w:r>
      <w:r w:rsidRPr="006F14E7">
        <w:rPr>
          <w:rFonts w:ascii="Times New Roman" w:hAnsi="Times New Roman" w:cs="Times New Roman"/>
          <w:sz w:val="24"/>
          <w:szCs w:val="24"/>
        </w:rPr>
        <w:t xml:space="preserve"> de la Constitución Política de los Estados Unidos Mexicanos de 1917 en </w:t>
      </w:r>
      <w:r w:rsidR="00480964" w:rsidRPr="006F14E7">
        <w:rPr>
          <w:rFonts w:ascii="Times New Roman" w:hAnsi="Times New Roman" w:cs="Times New Roman"/>
          <w:sz w:val="24"/>
          <w:szCs w:val="24"/>
        </w:rPr>
        <w:t>la cual se encuentra inscrito</w:t>
      </w:r>
      <w:r w:rsidRPr="006F14E7">
        <w:rPr>
          <w:rFonts w:ascii="Times New Roman" w:hAnsi="Times New Roman" w:cs="Times New Roman"/>
          <w:sz w:val="24"/>
          <w:szCs w:val="24"/>
        </w:rPr>
        <w:t xml:space="preserve"> el artículo 3°</w:t>
      </w:r>
      <w:r w:rsidR="00480964" w:rsidRPr="006F14E7">
        <w:rPr>
          <w:rFonts w:ascii="Times New Roman" w:hAnsi="Times New Roman" w:cs="Times New Roman"/>
          <w:sz w:val="24"/>
          <w:szCs w:val="24"/>
        </w:rPr>
        <w:t>,</w:t>
      </w:r>
      <w:r w:rsidRPr="006F14E7">
        <w:rPr>
          <w:rFonts w:ascii="Times New Roman" w:hAnsi="Times New Roman" w:cs="Times New Roman"/>
          <w:sz w:val="24"/>
          <w:szCs w:val="24"/>
        </w:rPr>
        <w:t xml:space="preserve"> que </w:t>
      </w:r>
      <w:r w:rsidRPr="006F14E7">
        <w:rPr>
          <w:rFonts w:ascii="Times New Roman" w:hAnsi="Times New Roman" w:cs="Times New Roman"/>
          <w:sz w:val="24"/>
          <w:szCs w:val="24"/>
        </w:rPr>
        <w:lastRenderedPageBreak/>
        <w:t>establece el derecho a la educación</w:t>
      </w:r>
      <w:r w:rsidR="00480964" w:rsidRPr="006F14E7">
        <w:rPr>
          <w:rFonts w:ascii="Times New Roman" w:hAnsi="Times New Roman" w:cs="Times New Roman"/>
          <w:sz w:val="24"/>
          <w:szCs w:val="24"/>
        </w:rPr>
        <w:t>,</w:t>
      </w:r>
      <w:r w:rsidRPr="006F14E7">
        <w:rPr>
          <w:rFonts w:ascii="Times New Roman" w:hAnsi="Times New Roman" w:cs="Times New Roman"/>
          <w:sz w:val="24"/>
          <w:szCs w:val="24"/>
        </w:rPr>
        <w:t xml:space="preserve"> y el 4°</w:t>
      </w:r>
      <w:r w:rsidR="00480964" w:rsidRPr="006F14E7">
        <w:rPr>
          <w:rFonts w:ascii="Times New Roman" w:hAnsi="Times New Roman" w:cs="Times New Roman"/>
          <w:sz w:val="24"/>
          <w:szCs w:val="24"/>
        </w:rPr>
        <w:t xml:space="preserve"> </w:t>
      </w:r>
      <w:r w:rsidRPr="006F14E7">
        <w:rPr>
          <w:rFonts w:ascii="Times New Roman" w:hAnsi="Times New Roman" w:cs="Times New Roman"/>
          <w:sz w:val="24"/>
          <w:szCs w:val="24"/>
        </w:rPr>
        <w:t xml:space="preserve">el derecho a la vivienda y a la salud, ambas garantías individuales, así como el artículo 123°, el cual determina el derecho al trabajo y a la seguridad </w:t>
      </w:r>
      <w:proofErr w:type="gramStart"/>
      <w:r w:rsidRPr="006F14E7">
        <w:rPr>
          <w:rFonts w:ascii="Times New Roman" w:hAnsi="Times New Roman" w:cs="Times New Roman"/>
          <w:sz w:val="24"/>
          <w:szCs w:val="24"/>
        </w:rPr>
        <w:t>social</w:t>
      </w:r>
      <w:r w:rsidR="00EB32DF" w:rsidRPr="006F14E7">
        <w:rPr>
          <w:rFonts w:ascii="Times New Roman" w:eastAsia="MS PGothic" w:hAnsi="Times New Roman" w:cs="Times New Roman"/>
          <w:color w:val="000000"/>
          <w:sz w:val="24"/>
          <w:szCs w:val="24"/>
          <w:vertAlign w:val="superscript"/>
        </w:rPr>
        <w:t>(</w:t>
      </w:r>
      <w:proofErr w:type="gramEnd"/>
      <w:r w:rsidR="00EB32DF" w:rsidRPr="006F14E7">
        <w:rPr>
          <w:rFonts w:ascii="Times New Roman" w:eastAsia="MS PGothic" w:hAnsi="Times New Roman" w:cs="Times New Roman"/>
          <w:color w:val="000000"/>
          <w:sz w:val="24"/>
          <w:szCs w:val="24"/>
          <w:vertAlign w:val="superscript"/>
        </w:rPr>
        <w:t>7</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w:t>
      </w:r>
    </w:p>
    <w:p w14:paraId="5A5456B2" w14:textId="7A9E8C54" w:rsidR="003129FB" w:rsidRPr="006F14E7" w:rsidRDefault="003129FB" w:rsidP="007A3D42">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2F7A780A" w14:textId="77777777" w:rsidR="006E0697" w:rsidRPr="006F14E7" w:rsidRDefault="006E0697" w:rsidP="007A3D42">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716408BE" w14:textId="169D26BE" w:rsidR="005155AA" w:rsidRPr="006F14E7" w:rsidRDefault="005414F7" w:rsidP="002E456A">
      <w:pPr>
        <w:pStyle w:val="Prrafodelista"/>
        <w:numPr>
          <w:ilvl w:val="0"/>
          <w:numId w:val="24"/>
        </w:numPr>
        <w:spacing w:after="0" w:line="240" w:lineRule="auto"/>
        <w:jc w:val="center"/>
        <w:rPr>
          <w:rFonts w:ascii="Times New Roman" w:eastAsia="MS PGothic" w:hAnsi="Times New Roman" w:cs="Times New Roman"/>
          <w:b/>
          <w:bCs/>
          <w:color w:val="000000"/>
          <w:sz w:val="24"/>
          <w:szCs w:val="24"/>
        </w:rPr>
      </w:pPr>
      <w:r w:rsidRPr="006F14E7">
        <w:rPr>
          <w:rFonts w:ascii="Times New Roman" w:eastAsia="MS PGothic" w:hAnsi="Times New Roman" w:cs="Times New Roman"/>
          <w:b/>
          <w:bCs/>
          <w:color w:val="000000"/>
          <w:sz w:val="24"/>
          <w:szCs w:val="24"/>
        </w:rPr>
        <w:t>OBJETIVO</w:t>
      </w:r>
    </w:p>
    <w:p w14:paraId="67A7BA0B" w14:textId="77777777" w:rsidR="003433D9" w:rsidRPr="006F14E7" w:rsidRDefault="003433D9" w:rsidP="009E3B50">
      <w:pPr>
        <w:spacing w:after="0" w:line="240" w:lineRule="auto"/>
        <w:jc w:val="both"/>
        <w:rPr>
          <w:rFonts w:ascii="Times New Roman" w:eastAsia="MS PGothic" w:hAnsi="Times New Roman" w:cs="Times New Roman"/>
          <w:color w:val="000000"/>
          <w:sz w:val="24"/>
          <w:szCs w:val="24"/>
        </w:rPr>
      </w:pPr>
    </w:p>
    <w:p w14:paraId="462CB144" w14:textId="0ED39FD7" w:rsidR="006B38C9" w:rsidRPr="006F14E7" w:rsidRDefault="006B38C9" w:rsidP="009E3B50">
      <w:pPr>
        <w:spacing w:after="0" w:line="240" w:lineRule="auto"/>
        <w:jc w:val="both"/>
        <w:rPr>
          <w:rFonts w:ascii="Times New Roman" w:eastAsia="MS PGothic" w:hAnsi="Times New Roman" w:cs="Times New Roman"/>
          <w:color w:val="000000"/>
          <w:sz w:val="24"/>
          <w:szCs w:val="24"/>
        </w:rPr>
      </w:pPr>
      <w:r w:rsidRPr="006F14E7">
        <w:rPr>
          <w:rFonts w:ascii="Times New Roman" w:eastAsia="MS PGothic" w:hAnsi="Times New Roman" w:cs="Times New Roman"/>
          <w:color w:val="000000"/>
          <w:sz w:val="24"/>
          <w:szCs w:val="24"/>
        </w:rPr>
        <w:t xml:space="preserve">Caracterizar las principales formas de determinación social de la salud de la población mexicana durante el periodo 1980 - 2018, y su vulnerabilidad frente a la pandemia por </w:t>
      </w:r>
      <w:proofErr w:type="spellStart"/>
      <w:r w:rsidRPr="006F14E7">
        <w:rPr>
          <w:rFonts w:ascii="Times New Roman" w:eastAsia="MS PGothic" w:hAnsi="Times New Roman" w:cs="Times New Roman"/>
          <w:color w:val="000000"/>
          <w:sz w:val="24"/>
          <w:szCs w:val="24"/>
        </w:rPr>
        <w:t>Covid</w:t>
      </w:r>
      <w:proofErr w:type="spellEnd"/>
      <w:r w:rsidRPr="006F14E7">
        <w:rPr>
          <w:rFonts w:ascii="Times New Roman" w:eastAsia="MS PGothic" w:hAnsi="Times New Roman" w:cs="Times New Roman"/>
          <w:color w:val="000000"/>
          <w:sz w:val="24"/>
          <w:szCs w:val="24"/>
        </w:rPr>
        <w:t xml:space="preserve"> 19.</w:t>
      </w:r>
    </w:p>
    <w:p w14:paraId="5CF74D76" w14:textId="77777777" w:rsidR="00D7344D" w:rsidRPr="006F14E7" w:rsidRDefault="00D7344D" w:rsidP="009E3B50">
      <w:pPr>
        <w:spacing w:after="0" w:line="240" w:lineRule="auto"/>
        <w:jc w:val="both"/>
        <w:rPr>
          <w:rFonts w:ascii="Times New Roman" w:eastAsia="MS PGothic" w:hAnsi="Times New Roman" w:cs="Times New Roman"/>
          <w:color w:val="000000"/>
          <w:sz w:val="24"/>
          <w:szCs w:val="24"/>
        </w:rPr>
      </w:pPr>
    </w:p>
    <w:p w14:paraId="7A6C415E" w14:textId="00D48DCD" w:rsidR="005155AA" w:rsidRPr="006F14E7" w:rsidRDefault="005414F7" w:rsidP="002E456A">
      <w:pPr>
        <w:pStyle w:val="Prrafodelista"/>
        <w:numPr>
          <w:ilvl w:val="0"/>
          <w:numId w:val="24"/>
        </w:numPr>
        <w:spacing w:after="0" w:line="240" w:lineRule="auto"/>
        <w:jc w:val="center"/>
        <w:rPr>
          <w:rFonts w:ascii="Times New Roman" w:eastAsia="MS PGothic" w:hAnsi="Times New Roman" w:cs="Times New Roman"/>
          <w:b/>
          <w:bCs/>
          <w:color w:val="000000"/>
          <w:sz w:val="24"/>
          <w:szCs w:val="24"/>
        </w:rPr>
      </w:pPr>
      <w:r w:rsidRPr="006F14E7">
        <w:rPr>
          <w:rFonts w:ascii="Times New Roman" w:eastAsia="MS PGothic" w:hAnsi="Times New Roman" w:cs="Times New Roman"/>
          <w:b/>
          <w:bCs/>
          <w:color w:val="000000"/>
          <w:sz w:val="24"/>
          <w:szCs w:val="24"/>
        </w:rPr>
        <w:t>MATERIALES Y MÉTODOS</w:t>
      </w:r>
    </w:p>
    <w:p w14:paraId="16A0EA23" w14:textId="77777777" w:rsidR="003433D9" w:rsidRPr="006F14E7" w:rsidRDefault="003433D9" w:rsidP="009E3B50">
      <w:pPr>
        <w:spacing w:after="0" w:line="240" w:lineRule="auto"/>
        <w:jc w:val="both"/>
        <w:rPr>
          <w:rFonts w:ascii="Times New Roman" w:eastAsia="MS PGothic" w:hAnsi="Times New Roman" w:cs="Times New Roman"/>
          <w:color w:val="000000"/>
          <w:sz w:val="24"/>
          <w:szCs w:val="24"/>
        </w:rPr>
      </w:pPr>
    </w:p>
    <w:p w14:paraId="6CFC0915" w14:textId="756BFC0E" w:rsidR="006B28EE" w:rsidRPr="006F14E7" w:rsidRDefault="0002109E" w:rsidP="009E3B50">
      <w:pPr>
        <w:spacing w:after="0" w:line="240" w:lineRule="auto"/>
        <w:jc w:val="both"/>
        <w:rPr>
          <w:rFonts w:ascii="Times New Roman" w:eastAsia="MS PGothic" w:hAnsi="Times New Roman" w:cs="Times New Roman"/>
          <w:color w:val="000000"/>
          <w:sz w:val="24"/>
          <w:szCs w:val="24"/>
        </w:rPr>
      </w:pPr>
      <w:r w:rsidRPr="006F14E7">
        <w:rPr>
          <w:rFonts w:ascii="Times New Roman" w:eastAsia="MS PGothic" w:hAnsi="Times New Roman" w:cs="Times New Roman"/>
          <w:color w:val="000000"/>
          <w:sz w:val="24"/>
          <w:szCs w:val="24"/>
        </w:rPr>
        <w:t xml:space="preserve">Se </w:t>
      </w:r>
      <w:r w:rsidR="00FE12B4" w:rsidRPr="006F14E7">
        <w:rPr>
          <w:rFonts w:ascii="Times New Roman" w:eastAsia="MS PGothic" w:hAnsi="Times New Roman" w:cs="Times New Roman"/>
          <w:color w:val="000000"/>
          <w:sz w:val="24"/>
          <w:szCs w:val="24"/>
        </w:rPr>
        <w:t>desarroll</w:t>
      </w:r>
      <w:r w:rsidR="00AB7AA6" w:rsidRPr="006F14E7">
        <w:rPr>
          <w:rFonts w:ascii="Times New Roman" w:eastAsia="MS PGothic" w:hAnsi="Times New Roman" w:cs="Times New Roman"/>
          <w:color w:val="000000"/>
          <w:sz w:val="24"/>
          <w:szCs w:val="24"/>
        </w:rPr>
        <w:t>ó</w:t>
      </w:r>
      <w:r w:rsidR="00FE12B4" w:rsidRPr="006F14E7">
        <w:rPr>
          <w:rFonts w:ascii="Times New Roman" w:eastAsia="MS PGothic" w:hAnsi="Times New Roman" w:cs="Times New Roman"/>
          <w:color w:val="000000"/>
          <w:sz w:val="24"/>
          <w:szCs w:val="24"/>
        </w:rPr>
        <w:t xml:space="preserve"> un</w:t>
      </w:r>
      <w:r w:rsidR="006B38C9" w:rsidRPr="006F14E7">
        <w:rPr>
          <w:rFonts w:ascii="Times New Roman" w:eastAsia="MS PGothic" w:hAnsi="Times New Roman" w:cs="Times New Roman"/>
          <w:color w:val="000000"/>
          <w:sz w:val="24"/>
          <w:szCs w:val="24"/>
        </w:rPr>
        <w:t xml:space="preserve"> análisis </w:t>
      </w:r>
      <w:proofErr w:type="spellStart"/>
      <w:r w:rsidRPr="006F14E7">
        <w:rPr>
          <w:rFonts w:ascii="Times New Roman" w:eastAsia="MS PGothic" w:hAnsi="Times New Roman" w:cs="Times New Roman"/>
          <w:color w:val="000000"/>
          <w:sz w:val="24"/>
          <w:szCs w:val="24"/>
        </w:rPr>
        <w:t>sociohistórico</w:t>
      </w:r>
      <w:proofErr w:type="spellEnd"/>
      <w:r w:rsidR="006B38C9" w:rsidRPr="006F14E7">
        <w:rPr>
          <w:rFonts w:ascii="Times New Roman" w:eastAsia="MS PGothic" w:hAnsi="Times New Roman" w:cs="Times New Roman"/>
          <w:color w:val="000000"/>
          <w:sz w:val="24"/>
          <w:szCs w:val="24"/>
        </w:rPr>
        <w:t xml:space="preserve"> con base a </w:t>
      </w:r>
      <w:r w:rsidR="00D7344D" w:rsidRPr="006F14E7">
        <w:rPr>
          <w:rFonts w:ascii="Times New Roman" w:eastAsia="MS PGothic" w:hAnsi="Times New Roman" w:cs="Times New Roman"/>
          <w:color w:val="000000"/>
          <w:sz w:val="24"/>
          <w:szCs w:val="24"/>
        </w:rPr>
        <w:t>5</w:t>
      </w:r>
      <w:r w:rsidR="006B38C9" w:rsidRPr="006F14E7">
        <w:rPr>
          <w:rFonts w:ascii="Times New Roman" w:eastAsia="MS PGothic" w:hAnsi="Times New Roman" w:cs="Times New Roman"/>
          <w:color w:val="000000"/>
          <w:sz w:val="24"/>
          <w:szCs w:val="24"/>
        </w:rPr>
        <w:t xml:space="preserve"> categorías de análisis</w:t>
      </w:r>
      <w:proofErr w:type="gramStart"/>
      <w:r w:rsidR="006B38C9" w:rsidRPr="006F14E7">
        <w:rPr>
          <w:rFonts w:ascii="Times New Roman" w:eastAsia="MS PGothic" w:hAnsi="Times New Roman" w:cs="Times New Roman"/>
          <w:color w:val="000000"/>
          <w:sz w:val="24"/>
          <w:szCs w:val="24"/>
        </w:rPr>
        <w:t>:  escolaridad</w:t>
      </w:r>
      <w:proofErr w:type="gramEnd"/>
      <w:r w:rsidR="006B38C9" w:rsidRPr="006F14E7">
        <w:rPr>
          <w:rFonts w:ascii="Times New Roman" w:eastAsia="MS PGothic" w:hAnsi="Times New Roman" w:cs="Times New Roman"/>
          <w:color w:val="000000"/>
          <w:sz w:val="24"/>
          <w:szCs w:val="24"/>
        </w:rPr>
        <w:t>, pobreza, acceso a servicios de salud y servicios básicos de vivienda entre 1980 y 2018, así como del estado de salud registrado en la población mexicana en 2018, privilegiando tres morbilidades: obesidad, hipertensión y diabetes mellitus; enfermedades vinculadas a la mayor proporción de complicaciones y letalidad por contagio de Covid-19</w:t>
      </w:r>
      <w:r w:rsidR="00D7344D" w:rsidRPr="006F14E7">
        <w:rPr>
          <w:rFonts w:ascii="Times New Roman" w:eastAsia="MS PGothic" w:hAnsi="Times New Roman" w:cs="Times New Roman"/>
          <w:color w:val="000000"/>
          <w:sz w:val="24"/>
          <w:szCs w:val="24"/>
        </w:rPr>
        <w:t>.</w:t>
      </w:r>
      <w:r w:rsidR="006B38C9" w:rsidRPr="006F14E7">
        <w:rPr>
          <w:rFonts w:ascii="Times New Roman" w:eastAsia="MS PGothic" w:hAnsi="Times New Roman" w:cs="Times New Roman"/>
          <w:color w:val="000000"/>
          <w:sz w:val="24"/>
          <w:szCs w:val="24"/>
        </w:rPr>
        <w:t xml:space="preserve"> </w:t>
      </w:r>
      <w:r w:rsidR="00D7344D" w:rsidRPr="006F14E7">
        <w:rPr>
          <w:rFonts w:ascii="Times New Roman" w:eastAsia="MS PGothic" w:hAnsi="Times New Roman" w:cs="Times New Roman"/>
          <w:color w:val="000000"/>
          <w:sz w:val="24"/>
          <w:szCs w:val="24"/>
        </w:rPr>
        <w:t>L</w:t>
      </w:r>
      <w:r w:rsidR="006B38C9" w:rsidRPr="006F14E7">
        <w:rPr>
          <w:rFonts w:ascii="Times New Roman" w:eastAsia="MS PGothic" w:hAnsi="Times New Roman" w:cs="Times New Roman"/>
          <w:color w:val="000000"/>
          <w:sz w:val="24"/>
          <w:szCs w:val="24"/>
        </w:rPr>
        <w:t xml:space="preserve">a perspectiva de la investigación fue </w:t>
      </w:r>
      <w:proofErr w:type="spellStart"/>
      <w:r w:rsidR="006B38C9" w:rsidRPr="006F14E7">
        <w:rPr>
          <w:rFonts w:ascii="Times New Roman" w:eastAsia="MS PGothic" w:hAnsi="Times New Roman" w:cs="Times New Roman"/>
          <w:color w:val="000000"/>
          <w:sz w:val="24"/>
          <w:szCs w:val="24"/>
        </w:rPr>
        <w:t>cuali</w:t>
      </w:r>
      <w:proofErr w:type="spellEnd"/>
      <w:r w:rsidR="006B38C9" w:rsidRPr="006F14E7">
        <w:rPr>
          <w:rFonts w:ascii="Times New Roman" w:eastAsia="MS PGothic" w:hAnsi="Times New Roman" w:cs="Times New Roman"/>
          <w:color w:val="000000"/>
          <w:sz w:val="24"/>
          <w:szCs w:val="24"/>
        </w:rPr>
        <w:t>-cuantitativa, retrospectiva y transversal</w:t>
      </w:r>
      <w:r w:rsidR="00975F94" w:rsidRPr="006F14E7">
        <w:rPr>
          <w:rFonts w:ascii="Times New Roman" w:eastAsia="MS PGothic" w:hAnsi="Times New Roman" w:cs="Times New Roman"/>
          <w:color w:val="000000"/>
          <w:sz w:val="24"/>
          <w:szCs w:val="24"/>
        </w:rPr>
        <w:t>, basada en fuentes de información documental</w:t>
      </w:r>
      <w:r w:rsidR="006B38C9" w:rsidRPr="006F14E7">
        <w:rPr>
          <w:rFonts w:ascii="Times New Roman" w:eastAsia="MS PGothic" w:hAnsi="Times New Roman" w:cs="Times New Roman"/>
          <w:color w:val="000000"/>
          <w:sz w:val="24"/>
          <w:szCs w:val="24"/>
        </w:rPr>
        <w:t xml:space="preserve">. </w:t>
      </w:r>
    </w:p>
    <w:p w14:paraId="62B290C2" w14:textId="77777777" w:rsidR="00877B43" w:rsidRPr="006F14E7" w:rsidRDefault="00877B43" w:rsidP="009E3B50">
      <w:pPr>
        <w:spacing w:after="0" w:line="240" w:lineRule="auto"/>
        <w:jc w:val="both"/>
        <w:rPr>
          <w:rFonts w:ascii="Times New Roman" w:eastAsia="MS PGothic" w:hAnsi="Times New Roman" w:cs="Times New Roman"/>
          <w:color w:val="000000"/>
          <w:sz w:val="24"/>
          <w:szCs w:val="24"/>
        </w:rPr>
      </w:pPr>
    </w:p>
    <w:p w14:paraId="435C8612" w14:textId="173D43F2" w:rsidR="006B38C9" w:rsidRPr="006F14E7" w:rsidRDefault="005414F7" w:rsidP="002E456A">
      <w:pPr>
        <w:pStyle w:val="Prrafodelista"/>
        <w:numPr>
          <w:ilvl w:val="0"/>
          <w:numId w:val="24"/>
        </w:numPr>
        <w:spacing w:after="0" w:line="240" w:lineRule="auto"/>
        <w:jc w:val="center"/>
        <w:rPr>
          <w:rFonts w:ascii="Times New Roman" w:eastAsia="MS PGothic" w:hAnsi="Times New Roman" w:cs="Times New Roman"/>
          <w:b/>
          <w:bCs/>
          <w:color w:val="000000"/>
          <w:sz w:val="24"/>
          <w:szCs w:val="24"/>
        </w:rPr>
      </w:pPr>
      <w:bookmarkStart w:id="1" w:name="_Hlk56668525"/>
      <w:r w:rsidRPr="006F14E7">
        <w:rPr>
          <w:rFonts w:ascii="Times New Roman" w:eastAsia="MS PGothic" w:hAnsi="Times New Roman" w:cs="Times New Roman"/>
          <w:b/>
          <w:bCs/>
          <w:color w:val="000000"/>
          <w:sz w:val="24"/>
          <w:szCs w:val="24"/>
        </w:rPr>
        <w:t>RESULTADOS</w:t>
      </w:r>
      <w:bookmarkStart w:id="2" w:name="_Hlk51528087"/>
    </w:p>
    <w:p w14:paraId="20ADBD6D" w14:textId="77777777" w:rsidR="003433D9" w:rsidRPr="006F14E7" w:rsidRDefault="003433D9" w:rsidP="003433D9">
      <w:pPr>
        <w:pStyle w:val="Prrafodelista"/>
        <w:spacing w:after="0" w:line="240" w:lineRule="auto"/>
        <w:rPr>
          <w:rFonts w:ascii="Times New Roman" w:hAnsi="Times New Roman" w:cs="Times New Roman"/>
          <w:b/>
          <w:bCs/>
          <w:sz w:val="24"/>
          <w:szCs w:val="24"/>
          <w:u w:val="single"/>
        </w:rPr>
      </w:pPr>
      <w:bookmarkStart w:id="3" w:name="_Hlk56416265"/>
    </w:p>
    <w:p w14:paraId="4F903E46" w14:textId="77B2C7F3" w:rsidR="006B38C9" w:rsidRPr="006F14E7" w:rsidRDefault="006B38C9" w:rsidP="009E3B50">
      <w:pPr>
        <w:pStyle w:val="Prrafodelista"/>
        <w:numPr>
          <w:ilvl w:val="0"/>
          <w:numId w:val="22"/>
        </w:numPr>
        <w:spacing w:after="0" w:line="240" w:lineRule="auto"/>
        <w:rPr>
          <w:rFonts w:ascii="Times New Roman" w:hAnsi="Times New Roman" w:cs="Times New Roman"/>
          <w:b/>
          <w:bCs/>
          <w:sz w:val="24"/>
          <w:szCs w:val="24"/>
          <w:u w:val="single"/>
        </w:rPr>
      </w:pPr>
      <w:r w:rsidRPr="006F14E7">
        <w:rPr>
          <w:rFonts w:ascii="Times New Roman" w:hAnsi="Times New Roman" w:cs="Times New Roman"/>
          <w:b/>
          <w:bCs/>
          <w:sz w:val="24"/>
          <w:szCs w:val="24"/>
        </w:rPr>
        <w:t>Escolaridad</w:t>
      </w:r>
    </w:p>
    <w:bookmarkEnd w:id="1"/>
    <w:p w14:paraId="39E7F287" w14:textId="53DD9926" w:rsidR="009E3B50" w:rsidRPr="006F14E7" w:rsidRDefault="00B755DC"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L</w:t>
      </w:r>
      <w:r w:rsidR="006B38C9" w:rsidRPr="006F14E7">
        <w:rPr>
          <w:rFonts w:ascii="Times New Roman" w:hAnsi="Times New Roman" w:cs="Times New Roman"/>
          <w:sz w:val="24"/>
          <w:szCs w:val="24"/>
        </w:rPr>
        <w:t xml:space="preserve">a </w:t>
      </w:r>
      <w:r w:rsidRPr="006F14E7">
        <w:rPr>
          <w:rFonts w:ascii="Times New Roman" w:hAnsi="Times New Roman" w:cs="Times New Roman"/>
          <w:sz w:val="24"/>
          <w:szCs w:val="24"/>
        </w:rPr>
        <w:t xml:space="preserve">reconfiguración del papel estatal </w:t>
      </w:r>
      <w:r w:rsidR="006B38C9" w:rsidRPr="006F14E7">
        <w:rPr>
          <w:rFonts w:ascii="Times New Roman" w:hAnsi="Times New Roman" w:cs="Times New Roman"/>
          <w:sz w:val="24"/>
          <w:szCs w:val="24"/>
        </w:rPr>
        <w:t xml:space="preserve">con relación a la vida social de la </w:t>
      </w:r>
      <w:r w:rsidR="00FE12B4" w:rsidRPr="006F14E7">
        <w:rPr>
          <w:rFonts w:ascii="Times New Roman" w:hAnsi="Times New Roman" w:cs="Times New Roman"/>
          <w:sz w:val="24"/>
          <w:szCs w:val="24"/>
        </w:rPr>
        <w:t>población</w:t>
      </w:r>
      <w:r w:rsidR="006B38C9" w:rsidRPr="006F14E7">
        <w:rPr>
          <w:rFonts w:ascii="Times New Roman" w:hAnsi="Times New Roman" w:cs="Times New Roman"/>
          <w:sz w:val="24"/>
          <w:szCs w:val="24"/>
        </w:rPr>
        <w:t xml:space="preserve"> tuvo un fuerte impacto en materia de financiamiento en los diversos sectores de la política social.  De acuerdo con García (2003), </w:t>
      </w:r>
      <w:r w:rsidR="00E10179" w:rsidRPr="006F14E7">
        <w:rPr>
          <w:rFonts w:ascii="Times New Roman" w:hAnsi="Times New Roman" w:cs="Times New Roman"/>
          <w:sz w:val="24"/>
          <w:szCs w:val="24"/>
        </w:rPr>
        <w:t>a partir de la</w:t>
      </w:r>
      <w:r w:rsidR="006B38C9" w:rsidRPr="006F14E7">
        <w:rPr>
          <w:rFonts w:ascii="Times New Roman" w:hAnsi="Times New Roman" w:cs="Times New Roman"/>
          <w:sz w:val="24"/>
          <w:szCs w:val="24"/>
        </w:rPr>
        <w:t xml:space="preserve"> crisi</w:t>
      </w:r>
      <w:r w:rsidR="00E10179" w:rsidRPr="006F14E7">
        <w:rPr>
          <w:rFonts w:ascii="Times New Roman" w:hAnsi="Times New Roman" w:cs="Times New Roman"/>
          <w:sz w:val="24"/>
          <w:szCs w:val="24"/>
        </w:rPr>
        <w:t xml:space="preserve">s </w:t>
      </w:r>
      <w:r w:rsidR="006B38C9" w:rsidRPr="006F14E7">
        <w:rPr>
          <w:rFonts w:ascii="Times New Roman" w:hAnsi="Times New Roman" w:cs="Times New Roman"/>
          <w:sz w:val="24"/>
          <w:szCs w:val="24"/>
        </w:rPr>
        <w:t>“se cierra un ciclo de crecimiento sostenido del gasto educativo iniciado en los años cincuenta</w:t>
      </w:r>
      <w:proofErr w:type="gramStart"/>
      <w:r w:rsidR="006B38C9" w:rsidRPr="006F14E7">
        <w:rPr>
          <w:rFonts w:ascii="Times New Roman" w:hAnsi="Times New Roman" w:cs="Times New Roman"/>
          <w:sz w:val="24"/>
          <w:szCs w:val="24"/>
        </w:rPr>
        <w:t>”</w:t>
      </w:r>
      <w:r w:rsidR="006B38C9" w:rsidRPr="006F14E7">
        <w:rPr>
          <w:rFonts w:ascii="Times New Roman" w:hAnsi="Times New Roman" w:cs="Times New Roman"/>
          <w:sz w:val="24"/>
          <w:szCs w:val="24"/>
          <w:vertAlign w:val="superscript"/>
        </w:rPr>
        <w:t>(</w:t>
      </w:r>
      <w:proofErr w:type="gramEnd"/>
      <w:r w:rsidR="00EB32DF" w:rsidRPr="006F14E7">
        <w:rPr>
          <w:rFonts w:ascii="Times New Roman" w:hAnsi="Times New Roman" w:cs="Times New Roman"/>
          <w:sz w:val="24"/>
          <w:szCs w:val="24"/>
          <w:vertAlign w:val="superscript"/>
        </w:rPr>
        <w:t>8</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w:t>
      </w:r>
      <w:r w:rsidR="00E10179" w:rsidRPr="006F14E7">
        <w:rPr>
          <w:rFonts w:ascii="Times New Roman" w:hAnsi="Times New Roman" w:cs="Times New Roman"/>
          <w:sz w:val="24"/>
          <w:szCs w:val="24"/>
        </w:rPr>
        <w:t xml:space="preserve"> De esta manera, e</w:t>
      </w:r>
      <w:r w:rsidR="006B38C9" w:rsidRPr="006F14E7">
        <w:rPr>
          <w:rFonts w:ascii="Times New Roman" w:hAnsi="Times New Roman" w:cs="Times New Roman"/>
          <w:sz w:val="24"/>
          <w:szCs w:val="24"/>
        </w:rPr>
        <w:t xml:space="preserve">l saldo que ilustra </w:t>
      </w:r>
      <w:r w:rsidR="00E10179" w:rsidRPr="006F14E7">
        <w:rPr>
          <w:rFonts w:ascii="Times New Roman" w:hAnsi="Times New Roman" w:cs="Times New Roman"/>
          <w:sz w:val="24"/>
          <w:szCs w:val="24"/>
        </w:rPr>
        <w:t>dicho</w:t>
      </w:r>
      <w:r w:rsidR="006B38C9" w:rsidRPr="006F14E7">
        <w:rPr>
          <w:rFonts w:ascii="Times New Roman" w:hAnsi="Times New Roman" w:cs="Times New Roman"/>
          <w:sz w:val="24"/>
          <w:szCs w:val="24"/>
        </w:rPr>
        <w:t xml:space="preserve"> ajuste presupuestal se expresó en el aumento de niños que se quedó sin escuela; de 34,000 en 1982 a 330,000 en 1987, y el porcentaje de terminación </w:t>
      </w:r>
      <w:r w:rsidR="0002109E" w:rsidRPr="006F14E7">
        <w:rPr>
          <w:rFonts w:ascii="Times New Roman" w:hAnsi="Times New Roman" w:cs="Times New Roman"/>
          <w:sz w:val="24"/>
          <w:szCs w:val="24"/>
        </w:rPr>
        <w:t xml:space="preserve">en primaria </w:t>
      </w:r>
      <w:r w:rsidR="006B38C9" w:rsidRPr="006F14E7">
        <w:rPr>
          <w:rFonts w:ascii="Times New Roman" w:hAnsi="Times New Roman" w:cs="Times New Roman"/>
          <w:sz w:val="24"/>
          <w:szCs w:val="24"/>
        </w:rPr>
        <w:t xml:space="preserve">fue del 50%, mientras que la deserción </w:t>
      </w:r>
      <w:r w:rsidR="0002109E" w:rsidRPr="006F14E7">
        <w:rPr>
          <w:rFonts w:ascii="Times New Roman" w:hAnsi="Times New Roman" w:cs="Times New Roman"/>
          <w:sz w:val="24"/>
          <w:szCs w:val="24"/>
        </w:rPr>
        <w:t>en</w:t>
      </w:r>
      <w:r w:rsidR="006B38C9" w:rsidRPr="006F14E7">
        <w:rPr>
          <w:rFonts w:ascii="Times New Roman" w:hAnsi="Times New Roman" w:cs="Times New Roman"/>
          <w:sz w:val="24"/>
          <w:szCs w:val="24"/>
        </w:rPr>
        <w:t xml:space="preserve"> secundaria pasó del 16.1% en 1980 al 26.1% en 1989 </w:t>
      </w:r>
      <w:r w:rsidR="006B38C9" w:rsidRPr="006F14E7">
        <w:rPr>
          <w:rFonts w:ascii="Times New Roman" w:hAnsi="Times New Roman" w:cs="Times New Roman"/>
          <w:sz w:val="24"/>
          <w:szCs w:val="24"/>
          <w:vertAlign w:val="superscript"/>
        </w:rPr>
        <w:t>(</w:t>
      </w:r>
      <w:r w:rsidR="00EB32DF" w:rsidRPr="006F14E7">
        <w:rPr>
          <w:rFonts w:ascii="Times New Roman" w:hAnsi="Times New Roman" w:cs="Times New Roman"/>
          <w:sz w:val="24"/>
          <w:szCs w:val="24"/>
          <w:vertAlign w:val="superscript"/>
        </w:rPr>
        <w:t>8</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 xml:space="preserve">. </w:t>
      </w:r>
      <w:r w:rsidR="0002109E" w:rsidRPr="006F14E7">
        <w:rPr>
          <w:rFonts w:ascii="Times New Roman" w:hAnsi="Times New Roman" w:cs="Times New Roman"/>
          <w:sz w:val="24"/>
          <w:szCs w:val="24"/>
        </w:rPr>
        <w:t xml:space="preserve"> </w:t>
      </w:r>
      <w:bookmarkEnd w:id="3"/>
      <w:r w:rsidR="006B38C9" w:rsidRPr="006F14E7">
        <w:rPr>
          <w:rFonts w:ascii="Times New Roman" w:hAnsi="Times New Roman" w:cs="Times New Roman"/>
          <w:sz w:val="24"/>
          <w:szCs w:val="24"/>
        </w:rPr>
        <w:t>En este contexto, la falta de acceso a la educación, entendida como un medio para la instrumentación de saberes y habilidades, se tradujo no solo en términos culturales, sino también en desigualdad salarial determinada por el nivel de estudios alcanzado por la población económicamente activa (PAE).</w:t>
      </w:r>
    </w:p>
    <w:p w14:paraId="6AB38245" w14:textId="77777777" w:rsidR="003433D9" w:rsidRPr="006F14E7" w:rsidRDefault="003433D9" w:rsidP="006E0697">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83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812"/>
        <w:gridCol w:w="812"/>
        <w:gridCol w:w="1910"/>
        <w:gridCol w:w="1282"/>
        <w:gridCol w:w="6"/>
        <w:gridCol w:w="1010"/>
      </w:tblGrid>
      <w:tr w:rsidR="006B38C9" w:rsidRPr="006F14E7" w14:paraId="6EFF43D2" w14:textId="77777777" w:rsidTr="004B1E49">
        <w:trPr>
          <w:trHeight w:val="536"/>
          <w:jc w:val="center"/>
        </w:trPr>
        <w:tc>
          <w:tcPr>
            <w:tcW w:w="8315" w:type="dxa"/>
            <w:gridSpan w:val="7"/>
            <w:tcBorders>
              <w:top w:val="single" w:sz="4" w:space="0" w:color="auto"/>
              <w:bottom w:val="single" w:sz="4" w:space="0" w:color="auto"/>
            </w:tcBorders>
            <w:shd w:val="clear" w:color="auto" w:fill="E7E6E6" w:themeFill="background2"/>
          </w:tcPr>
          <w:p w14:paraId="782BB5F0" w14:textId="77777777" w:rsidR="006E0697" w:rsidRPr="006F14E7" w:rsidRDefault="006E0697" w:rsidP="006E0697">
            <w:pPr>
              <w:jc w:val="center"/>
              <w:rPr>
                <w:rFonts w:ascii="Times New Roman" w:hAnsi="Times New Roman"/>
                <w:b/>
                <w:bCs/>
                <w:sz w:val="20"/>
                <w:szCs w:val="20"/>
              </w:rPr>
            </w:pPr>
          </w:p>
          <w:p w14:paraId="6218DDBB" w14:textId="3B138D97" w:rsidR="006B38C9" w:rsidRPr="006F14E7" w:rsidRDefault="00BB255B" w:rsidP="006E0697">
            <w:pPr>
              <w:jc w:val="center"/>
              <w:rPr>
                <w:rFonts w:ascii="Times New Roman" w:hAnsi="Times New Roman"/>
                <w:b/>
                <w:bCs/>
                <w:sz w:val="20"/>
                <w:szCs w:val="20"/>
              </w:rPr>
            </w:pPr>
            <w:r w:rsidRPr="006F14E7">
              <w:rPr>
                <w:rFonts w:ascii="Times New Roman" w:hAnsi="Times New Roman"/>
                <w:b/>
                <w:bCs/>
                <w:sz w:val="20"/>
                <w:szCs w:val="20"/>
              </w:rPr>
              <w:t>Tabla</w:t>
            </w:r>
            <w:r w:rsidR="00AB7AA6" w:rsidRPr="006F14E7">
              <w:rPr>
                <w:rFonts w:ascii="Times New Roman" w:hAnsi="Times New Roman"/>
                <w:b/>
                <w:bCs/>
                <w:sz w:val="20"/>
                <w:szCs w:val="20"/>
              </w:rPr>
              <w:t xml:space="preserve"> </w:t>
            </w:r>
            <w:r w:rsidRPr="006F14E7">
              <w:rPr>
                <w:rFonts w:ascii="Times New Roman" w:hAnsi="Times New Roman"/>
                <w:b/>
                <w:bCs/>
                <w:sz w:val="20"/>
                <w:szCs w:val="20"/>
              </w:rPr>
              <w:t xml:space="preserve">1. </w:t>
            </w:r>
            <w:r w:rsidR="006B38C9" w:rsidRPr="006F14E7">
              <w:rPr>
                <w:rFonts w:ascii="Times New Roman" w:hAnsi="Times New Roman"/>
                <w:sz w:val="20"/>
                <w:szCs w:val="20"/>
              </w:rPr>
              <w:t>Índice de salarios reales en México</w:t>
            </w:r>
          </w:p>
        </w:tc>
      </w:tr>
      <w:tr w:rsidR="006B38C9" w:rsidRPr="006F14E7" w14:paraId="199AC5BD" w14:textId="77777777" w:rsidTr="004B1E49">
        <w:trPr>
          <w:trHeight w:val="288"/>
          <w:jc w:val="center"/>
        </w:trPr>
        <w:tc>
          <w:tcPr>
            <w:tcW w:w="2483" w:type="dxa"/>
            <w:vMerge w:val="restart"/>
            <w:tcBorders>
              <w:top w:val="single" w:sz="4" w:space="0" w:color="auto"/>
            </w:tcBorders>
          </w:tcPr>
          <w:p w14:paraId="51D9B6EA" w14:textId="77777777" w:rsidR="006B38C9" w:rsidRPr="006F14E7" w:rsidRDefault="006B38C9" w:rsidP="001F09EE">
            <w:pPr>
              <w:rPr>
                <w:rFonts w:ascii="Times New Roman" w:hAnsi="Times New Roman"/>
                <w:b/>
                <w:bCs/>
              </w:rPr>
            </w:pPr>
          </w:p>
          <w:p w14:paraId="284B10F1" w14:textId="77777777" w:rsidR="006B38C9" w:rsidRPr="006F14E7" w:rsidRDefault="006B38C9" w:rsidP="001F09EE">
            <w:pPr>
              <w:jc w:val="center"/>
              <w:rPr>
                <w:rFonts w:ascii="Times New Roman" w:hAnsi="Times New Roman"/>
                <w:b/>
                <w:bCs/>
              </w:rPr>
            </w:pPr>
            <w:r w:rsidRPr="006F14E7">
              <w:rPr>
                <w:rFonts w:ascii="Times New Roman" w:hAnsi="Times New Roman"/>
                <w:b/>
                <w:bCs/>
              </w:rPr>
              <w:t>Nivel escolar</w:t>
            </w:r>
          </w:p>
        </w:tc>
        <w:tc>
          <w:tcPr>
            <w:tcW w:w="3534" w:type="dxa"/>
            <w:gridSpan w:val="3"/>
            <w:tcBorders>
              <w:top w:val="single" w:sz="4" w:space="0" w:color="auto"/>
            </w:tcBorders>
          </w:tcPr>
          <w:p w14:paraId="62D5B089" w14:textId="77777777" w:rsidR="006B38C9" w:rsidRPr="006F14E7" w:rsidRDefault="006B38C9" w:rsidP="001F09EE">
            <w:pPr>
              <w:jc w:val="center"/>
              <w:rPr>
                <w:rFonts w:ascii="Times New Roman" w:hAnsi="Times New Roman"/>
              </w:rPr>
            </w:pPr>
            <w:r w:rsidRPr="006F14E7">
              <w:rPr>
                <w:rFonts w:ascii="Times New Roman" w:hAnsi="Times New Roman"/>
              </w:rPr>
              <w:t>Sueldos y salarios</w:t>
            </w:r>
          </w:p>
        </w:tc>
        <w:tc>
          <w:tcPr>
            <w:tcW w:w="2297" w:type="dxa"/>
            <w:gridSpan w:val="3"/>
            <w:tcBorders>
              <w:top w:val="single" w:sz="4" w:space="0" w:color="auto"/>
            </w:tcBorders>
            <w:hideMark/>
          </w:tcPr>
          <w:p w14:paraId="3AE26072" w14:textId="77777777" w:rsidR="006B38C9" w:rsidRPr="006F14E7" w:rsidRDefault="006B38C9" w:rsidP="001F09EE">
            <w:pPr>
              <w:jc w:val="center"/>
              <w:rPr>
                <w:rFonts w:ascii="Times New Roman" w:hAnsi="Times New Roman"/>
              </w:rPr>
            </w:pPr>
            <w:r w:rsidRPr="006F14E7">
              <w:rPr>
                <w:rFonts w:ascii="Times New Roman" w:hAnsi="Times New Roman"/>
              </w:rPr>
              <w:t>% de trabajadores</w:t>
            </w:r>
          </w:p>
        </w:tc>
      </w:tr>
      <w:tr w:rsidR="001F09EE" w:rsidRPr="006F14E7" w14:paraId="099DC3B6" w14:textId="77777777" w:rsidTr="004B1E49">
        <w:trPr>
          <w:trHeight w:val="432"/>
          <w:jc w:val="center"/>
        </w:trPr>
        <w:tc>
          <w:tcPr>
            <w:tcW w:w="2483" w:type="dxa"/>
            <w:vMerge/>
            <w:vAlign w:val="center"/>
            <w:hideMark/>
          </w:tcPr>
          <w:p w14:paraId="61A0B2B5" w14:textId="77777777" w:rsidR="006B38C9" w:rsidRPr="006F14E7" w:rsidRDefault="006B38C9" w:rsidP="001F09EE">
            <w:pPr>
              <w:rPr>
                <w:rFonts w:ascii="Times New Roman" w:hAnsi="Times New Roman"/>
                <w:b/>
                <w:bCs/>
              </w:rPr>
            </w:pPr>
          </w:p>
        </w:tc>
        <w:tc>
          <w:tcPr>
            <w:tcW w:w="812" w:type="dxa"/>
            <w:hideMark/>
          </w:tcPr>
          <w:p w14:paraId="6CF4BBCB" w14:textId="77777777" w:rsidR="006B38C9" w:rsidRPr="006F14E7" w:rsidRDefault="006B38C9" w:rsidP="001F09EE">
            <w:pPr>
              <w:jc w:val="center"/>
              <w:rPr>
                <w:rFonts w:ascii="Times New Roman" w:hAnsi="Times New Roman"/>
              </w:rPr>
            </w:pPr>
            <w:r w:rsidRPr="006F14E7">
              <w:rPr>
                <w:rFonts w:ascii="Times New Roman" w:hAnsi="Times New Roman"/>
              </w:rPr>
              <w:t>1984</w:t>
            </w:r>
          </w:p>
        </w:tc>
        <w:tc>
          <w:tcPr>
            <w:tcW w:w="812" w:type="dxa"/>
            <w:hideMark/>
          </w:tcPr>
          <w:p w14:paraId="03D5461F" w14:textId="77777777" w:rsidR="006B38C9" w:rsidRPr="006F14E7" w:rsidRDefault="006B38C9" w:rsidP="001F09EE">
            <w:pPr>
              <w:jc w:val="center"/>
              <w:rPr>
                <w:rFonts w:ascii="Times New Roman" w:hAnsi="Times New Roman"/>
              </w:rPr>
            </w:pPr>
            <w:r w:rsidRPr="006F14E7">
              <w:rPr>
                <w:rFonts w:ascii="Times New Roman" w:hAnsi="Times New Roman"/>
              </w:rPr>
              <w:t>1994</w:t>
            </w:r>
          </w:p>
        </w:tc>
        <w:tc>
          <w:tcPr>
            <w:tcW w:w="1908" w:type="dxa"/>
            <w:hideMark/>
          </w:tcPr>
          <w:p w14:paraId="27EFD1FA" w14:textId="77777777" w:rsidR="006B38C9" w:rsidRPr="006F14E7" w:rsidRDefault="006B38C9" w:rsidP="001F09EE">
            <w:pPr>
              <w:jc w:val="center"/>
              <w:rPr>
                <w:rFonts w:ascii="Times New Roman" w:hAnsi="Times New Roman"/>
              </w:rPr>
            </w:pPr>
            <w:r w:rsidRPr="006F14E7">
              <w:rPr>
                <w:rFonts w:ascii="Times New Roman" w:hAnsi="Times New Roman"/>
              </w:rPr>
              <w:t>Diferencia</w:t>
            </w:r>
          </w:p>
        </w:tc>
        <w:tc>
          <w:tcPr>
            <w:tcW w:w="1282" w:type="dxa"/>
            <w:hideMark/>
          </w:tcPr>
          <w:p w14:paraId="36573EEF" w14:textId="77777777" w:rsidR="006B38C9" w:rsidRPr="006F14E7" w:rsidRDefault="006B38C9" w:rsidP="001F09EE">
            <w:pPr>
              <w:jc w:val="center"/>
              <w:rPr>
                <w:rFonts w:ascii="Times New Roman" w:hAnsi="Times New Roman"/>
              </w:rPr>
            </w:pPr>
            <w:r w:rsidRPr="006F14E7">
              <w:rPr>
                <w:rFonts w:ascii="Times New Roman" w:hAnsi="Times New Roman"/>
              </w:rPr>
              <w:t>1984</w:t>
            </w:r>
          </w:p>
        </w:tc>
        <w:tc>
          <w:tcPr>
            <w:tcW w:w="1014" w:type="dxa"/>
            <w:gridSpan w:val="2"/>
            <w:hideMark/>
          </w:tcPr>
          <w:p w14:paraId="4C162BDE" w14:textId="77777777" w:rsidR="006B38C9" w:rsidRPr="006F14E7" w:rsidRDefault="006B38C9" w:rsidP="001F09EE">
            <w:pPr>
              <w:jc w:val="center"/>
              <w:rPr>
                <w:rFonts w:ascii="Times New Roman" w:hAnsi="Times New Roman"/>
              </w:rPr>
            </w:pPr>
            <w:r w:rsidRPr="006F14E7">
              <w:rPr>
                <w:rFonts w:ascii="Times New Roman" w:hAnsi="Times New Roman"/>
              </w:rPr>
              <w:t>1994</w:t>
            </w:r>
          </w:p>
        </w:tc>
      </w:tr>
      <w:tr w:rsidR="001F09EE" w:rsidRPr="006F14E7" w14:paraId="6AEF5C46" w14:textId="77777777" w:rsidTr="004B1E49">
        <w:trPr>
          <w:trHeight w:val="288"/>
          <w:jc w:val="center"/>
        </w:trPr>
        <w:tc>
          <w:tcPr>
            <w:tcW w:w="2483" w:type="dxa"/>
            <w:hideMark/>
          </w:tcPr>
          <w:p w14:paraId="0469CB5A" w14:textId="77777777" w:rsidR="006B38C9" w:rsidRPr="006F14E7" w:rsidRDefault="006B38C9" w:rsidP="001F09EE">
            <w:pPr>
              <w:jc w:val="center"/>
              <w:rPr>
                <w:rFonts w:ascii="Times New Roman" w:hAnsi="Times New Roman"/>
                <w:b/>
                <w:bCs/>
              </w:rPr>
            </w:pPr>
            <w:r w:rsidRPr="006F14E7">
              <w:rPr>
                <w:rFonts w:ascii="Times New Roman" w:hAnsi="Times New Roman"/>
                <w:b/>
                <w:bCs/>
              </w:rPr>
              <w:t>Primaria inconclusa</w:t>
            </w:r>
          </w:p>
        </w:tc>
        <w:tc>
          <w:tcPr>
            <w:tcW w:w="812" w:type="dxa"/>
            <w:hideMark/>
          </w:tcPr>
          <w:p w14:paraId="69AAF1F1" w14:textId="77777777" w:rsidR="006B38C9" w:rsidRPr="006F14E7" w:rsidRDefault="006B38C9" w:rsidP="001F09EE">
            <w:pPr>
              <w:jc w:val="center"/>
              <w:rPr>
                <w:rFonts w:ascii="Times New Roman" w:hAnsi="Times New Roman"/>
              </w:rPr>
            </w:pPr>
            <w:r w:rsidRPr="006F14E7">
              <w:rPr>
                <w:rFonts w:ascii="Times New Roman" w:hAnsi="Times New Roman"/>
              </w:rPr>
              <w:t>3.17</w:t>
            </w:r>
          </w:p>
        </w:tc>
        <w:tc>
          <w:tcPr>
            <w:tcW w:w="812" w:type="dxa"/>
            <w:hideMark/>
          </w:tcPr>
          <w:p w14:paraId="5E1097DF" w14:textId="77777777" w:rsidR="006B38C9" w:rsidRPr="006F14E7" w:rsidRDefault="006B38C9" w:rsidP="001F09EE">
            <w:pPr>
              <w:jc w:val="center"/>
              <w:rPr>
                <w:rFonts w:ascii="Times New Roman" w:hAnsi="Times New Roman"/>
              </w:rPr>
            </w:pPr>
            <w:r w:rsidRPr="006F14E7">
              <w:rPr>
                <w:rFonts w:ascii="Times New Roman" w:hAnsi="Times New Roman"/>
              </w:rPr>
              <w:t>3.08</w:t>
            </w:r>
          </w:p>
        </w:tc>
        <w:tc>
          <w:tcPr>
            <w:tcW w:w="1908" w:type="dxa"/>
            <w:hideMark/>
          </w:tcPr>
          <w:p w14:paraId="3D9F2060" w14:textId="77777777" w:rsidR="006B38C9" w:rsidRPr="006F14E7" w:rsidRDefault="006B38C9" w:rsidP="001F09EE">
            <w:pPr>
              <w:jc w:val="center"/>
              <w:rPr>
                <w:rFonts w:ascii="Times New Roman" w:hAnsi="Times New Roman"/>
              </w:rPr>
            </w:pPr>
            <w:r w:rsidRPr="006F14E7">
              <w:rPr>
                <w:rFonts w:ascii="Times New Roman" w:hAnsi="Times New Roman"/>
              </w:rPr>
              <w:t>-2.8%</w:t>
            </w:r>
          </w:p>
        </w:tc>
        <w:tc>
          <w:tcPr>
            <w:tcW w:w="1288" w:type="dxa"/>
            <w:gridSpan w:val="2"/>
            <w:hideMark/>
          </w:tcPr>
          <w:p w14:paraId="1CA9DEF7" w14:textId="77777777" w:rsidR="006B38C9" w:rsidRPr="006F14E7" w:rsidRDefault="006B38C9" w:rsidP="001F09EE">
            <w:pPr>
              <w:jc w:val="center"/>
              <w:rPr>
                <w:rFonts w:ascii="Times New Roman" w:hAnsi="Times New Roman"/>
              </w:rPr>
            </w:pPr>
            <w:r w:rsidRPr="006F14E7">
              <w:rPr>
                <w:rFonts w:ascii="Times New Roman" w:hAnsi="Times New Roman"/>
              </w:rPr>
              <w:t>48.1%</w:t>
            </w:r>
          </w:p>
        </w:tc>
        <w:tc>
          <w:tcPr>
            <w:tcW w:w="1008" w:type="dxa"/>
            <w:shd w:val="clear" w:color="auto" w:fill="D0CECE" w:themeFill="background2" w:themeFillShade="E6"/>
            <w:hideMark/>
          </w:tcPr>
          <w:p w14:paraId="3BDB6646" w14:textId="77777777" w:rsidR="006B38C9" w:rsidRPr="006F14E7" w:rsidRDefault="006B38C9" w:rsidP="001F09EE">
            <w:pPr>
              <w:jc w:val="center"/>
              <w:rPr>
                <w:rFonts w:ascii="Times New Roman" w:hAnsi="Times New Roman"/>
              </w:rPr>
            </w:pPr>
            <w:r w:rsidRPr="006F14E7">
              <w:rPr>
                <w:rFonts w:ascii="Times New Roman" w:hAnsi="Times New Roman"/>
              </w:rPr>
              <w:t>35.7%</w:t>
            </w:r>
          </w:p>
        </w:tc>
      </w:tr>
      <w:tr w:rsidR="001F09EE" w:rsidRPr="006F14E7" w14:paraId="1768157A" w14:textId="77777777" w:rsidTr="004B1E49">
        <w:trPr>
          <w:trHeight w:val="288"/>
          <w:jc w:val="center"/>
        </w:trPr>
        <w:tc>
          <w:tcPr>
            <w:tcW w:w="2483" w:type="dxa"/>
            <w:hideMark/>
          </w:tcPr>
          <w:p w14:paraId="7BB3E941" w14:textId="77777777" w:rsidR="006B38C9" w:rsidRPr="006F14E7" w:rsidRDefault="006B38C9" w:rsidP="001F09EE">
            <w:pPr>
              <w:jc w:val="center"/>
              <w:rPr>
                <w:rFonts w:ascii="Times New Roman" w:hAnsi="Times New Roman"/>
                <w:b/>
                <w:bCs/>
              </w:rPr>
            </w:pPr>
            <w:r w:rsidRPr="006F14E7">
              <w:rPr>
                <w:rFonts w:ascii="Times New Roman" w:hAnsi="Times New Roman"/>
                <w:b/>
                <w:bCs/>
              </w:rPr>
              <w:t>Primaria completa</w:t>
            </w:r>
          </w:p>
        </w:tc>
        <w:tc>
          <w:tcPr>
            <w:tcW w:w="812" w:type="dxa"/>
            <w:hideMark/>
          </w:tcPr>
          <w:p w14:paraId="40085E52" w14:textId="77777777" w:rsidR="006B38C9" w:rsidRPr="006F14E7" w:rsidRDefault="006B38C9" w:rsidP="001F09EE">
            <w:pPr>
              <w:jc w:val="center"/>
              <w:rPr>
                <w:rFonts w:ascii="Times New Roman" w:hAnsi="Times New Roman"/>
              </w:rPr>
            </w:pPr>
            <w:r w:rsidRPr="006F14E7">
              <w:rPr>
                <w:rFonts w:ascii="Times New Roman" w:hAnsi="Times New Roman"/>
              </w:rPr>
              <w:t>5.23</w:t>
            </w:r>
          </w:p>
        </w:tc>
        <w:tc>
          <w:tcPr>
            <w:tcW w:w="812" w:type="dxa"/>
            <w:hideMark/>
          </w:tcPr>
          <w:p w14:paraId="1C17456F" w14:textId="77777777" w:rsidR="006B38C9" w:rsidRPr="006F14E7" w:rsidRDefault="006B38C9" w:rsidP="001F09EE">
            <w:pPr>
              <w:jc w:val="center"/>
              <w:rPr>
                <w:rFonts w:ascii="Times New Roman" w:hAnsi="Times New Roman"/>
              </w:rPr>
            </w:pPr>
            <w:r w:rsidRPr="006F14E7">
              <w:rPr>
                <w:rFonts w:ascii="Times New Roman" w:hAnsi="Times New Roman"/>
              </w:rPr>
              <w:t>4.42</w:t>
            </w:r>
          </w:p>
        </w:tc>
        <w:tc>
          <w:tcPr>
            <w:tcW w:w="1908" w:type="dxa"/>
            <w:hideMark/>
          </w:tcPr>
          <w:p w14:paraId="43CF7E67" w14:textId="77777777" w:rsidR="006B38C9" w:rsidRPr="006F14E7" w:rsidRDefault="006B38C9" w:rsidP="001F09EE">
            <w:pPr>
              <w:jc w:val="center"/>
              <w:rPr>
                <w:rFonts w:ascii="Times New Roman" w:hAnsi="Times New Roman"/>
              </w:rPr>
            </w:pPr>
            <w:r w:rsidRPr="006F14E7">
              <w:rPr>
                <w:rFonts w:ascii="Times New Roman" w:hAnsi="Times New Roman"/>
              </w:rPr>
              <w:t>-15.5%</w:t>
            </w:r>
          </w:p>
        </w:tc>
        <w:tc>
          <w:tcPr>
            <w:tcW w:w="1288" w:type="dxa"/>
            <w:gridSpan w:val="2"/>
            <w:hideMark/>
          </w:tcPr>
          <w:p w14:paraId="0A310F69" w14:textId="77777777" w:rsidR="006B38C9" w:rsidRPr="006F14E7" w:rsidRDefault="006B38C9" w:rsidP="001F09EE">
            <w:pPr>
              <w:jc w:val="center"/>
              <w:rPr>
                <w:rFonts w:ascii="Times New Roman" w:hAnsi="Times New Roman"/>
              </w:rPr>
            </w:pPr>
            <w:r w:rsidRPr="006F14E7">
              <w:rPr>
                <w:rFonts w:ascii="Times New Roman" w:hAnsi="Times New Roman"/>
              </w:rPr>
              <w:t>26.3%</w:t>
            </w:r>
          </w:p>
        </w:tc>
        <w:tc>
          <w:tcPr>
            <w:tcW w:w="1008" w:type="dxa"/>
            <w:shd w:val="clear" w:color="auto" w:fill="D0CECE" w:themeFill="background2" w:themeFillShade="E6"/>
            <w:hideMark/>
          </w:tcPr>
          <w:p w14:paraId="1728E864" w14:textId="77777777" w:rsidR="006B38C9" w:rsidRPr="006F14E7" w:rsidRDefault="006B38C9" w:rsidP="001F09EE">
            <w:pPr>
              <w:jc w:val="center"/>
              <w:rPr>
                <w:rFonts w:ascii="Times New Roman" w:hAnsi="Times New Roman"/>
              </w:rPr>
            </w:pPr>
            <w:r w:rsidRPr="006F14E7">
              <w:rPr>
                <w:rFonts w:ascii="Times New Roman" w:hAnsi="Times New Roman"/>
              </w:rPr>
              <w:t>25.4%</w:t>
            </w:r>
          </w:p>
        </w:tc>
      </w:tr>
      <w:tr w:rsidR="001F09EE" w:rsidRPr="006F14E7" w14:paraId="5C2FA7DB" w14:textId="77777777" w:rsidTr="004B1E49">
        <w:trPr>
          <w:trHeight w:val="288"/>
          <w:jc w:val="center"/>
        </w:trPr>
        <w:tc>
          <w:tcPr>
            <w:tcW w:w="2483" w:type="dxa"/>
            <w:hideMark/>
          </w:tcPr>
          <w:p w14:paraId="0F0CB84C" w14:textId="77777777" w:rsidR="006B38C9" w:rsidRPr="006F14E7" w:rsidRDefault="006B38C9" w:rsidP="001F09EE">
            <w:pPr>
              <w:jc w:val="center"/>
              <w:rPr>
                <w:rFonts w:ascii="Times New Roman" w:hAnsi="Times New Roman"/>
                <w:b/>
                <w:bCs/>
              </w:rPr>
            </w:pPr>
            <w:r w:rsidRPr="006F14E7">
              <w:rPr>
                <w:rFonts w:ascii="Times New Roman" w:hAnsi="Times New Roman"/>
                <w:b/>
                <w:bCs/>
              </w:rPr>
              <w:t>Secundaria completa</w:t>
            </w:r>
          </w:p>
        </w:tc>
        <w:tc>
          <w:tcPr>
            <w:tcW w:w="812" w:type="dxa"/>
            <w:hideMark/>
          </w:tcPr>
          <w:p w14:paraId="76070051" w14:textId="77777777" w:rsidR="006B38C9" w:rsidRPr="006F14E7" w:rsidRDefault="006B38C9" w:rsidP="001F09EE">
            <w:pPr>
              <w:jc w:val="center"/>
              <w:rPr>
                <w:rFonts w:ascii="Times New Roman" w:hAnsi="Times New Roman"/>
              </w:rPr>
            </w:pPr>
            <w:r w:rsidRPr="006F14E7">
              <w:rPr>
                <w:rFonts w:ascii="Times New Roman" w:hAnsi="Times New Roman"/>
              </w:rPr>
              <w:t>6.55</w:t>
            </w:r>
          </w:p>
        </w:tc>
        <w:tc>
          <w:tcPr>
            <w:tcW w:w="812" w:type="dxa"/>
            <w:hideMark/>
          </w:tcPr>
          <w:p w14:paraId="05A412EC" w14:textId="77777777" w:rsidR="006B38C9" w:rsidRPr="006F14E7" w:rsidRDefault="006B38C9" w:rsidP="001F09EE">
            <w:pPr>
              <w:jc w:val="center"/>
              <w:rPr>
                <w:rFonts w:ascii="Times New Roman" w:hAnsi="Times New Roman"/>
              </w:rPr>
            </w:pPr>
            <w:r w:rsidRPr="006F14E7">
              <w:rPr>
                <w:rFonts w:ascii="Times New Roman" w:hAnsi="Times New Roman"/>
              </w:rPr>
              <w:t>5.83</w:t>
            </w:r>
          </w:p>
        </w:tc>
        <w:tc>
          <w:tcPr>
            <w:tcW w:w="1908" w:type="dxa"/>
            <w:hideMark/>
          </w:tcPr>
          <w:p w14:paraId="0276A601" w14:textId="77777777" w:rsidR="006B38C9" w:rsidRPr="006F14E7" w:rsidRDefault="006B38C9" w:rsidP="001F09EE">
            <w:pPr>
              <w:jc w:val="center"/>
              <w:rPr>
                <w:rFonts w:ascii="Times New Roman" w:hAnsi="Times New Roman"/>
              </w:rPr>
            </w:pPr>
            <w:r w:rsidRPr="006F14E7">
              <w:rPr>
                <w:rFonts w:ascii="Times New Roman" w:hAnsi="Times New Roman"/>
              </w:rPr>
              <w:t>-11.0%</w:t>
            </w:r>
          </w:p>
        </w:tc>
        <w:tc>
          <w:tcPr>
            <w:tcW w:w="1288" w:type="dxa"/>
            <w:gridSpan w:val="2"/>
            <w:hideMark/>
          </w:tcPr>
          <w:p w14:paraId="1CCB25AB" w14:textId="77777777" w:rsidR="006B38C9" w:rsidRPr="006F14E7" w:rsidRDefault="006B38C9" w:rsidP="001F09EE">
            <w:pPr>
              <w:jc w:val="center"/>
              <w:rPr>
                <w:rFonts w:ascii="Times New Roman" w:hAnsi="Times New Roman"/>
              </w:rPr>
            </w:pPr>
            <w:r w:rsidRPr="006F14E7">
              <w:rPr>
                <w:rFonts w:ascii="Times New Roman" w:hAnsi="Times New Roman"/>
              </w:rPr>
              <w:t>13.3%</w:t>
            </w:r>
          </w:p>
        </w:tc>
        <w:tc>
          <w:tcPr>
            <w:tcW w:w="1008" w:type="dxa"/>
            <w:hideMark/>
          </w:tcPr>
          <w:p w14:paraId="3870D888" w14:textId="77777777" w:rsidR="006B38C9" w:rsidRPr="006F14E7" w:rsidRDefault="006B38C9" w:rsidP="001F09EE">
            <w:pPr>
              <w:jc w:val="center"/>
              <w:rPr>
                <w:rFonts w:ascii="Times New Roman" w:hAnsi="Times New Roman"/>
              </w:rPr>
            </w:pPr>
            <w:r w:rsidRPr="006F14E7">
              <w:rPr>
                <w:rFonts w:ascii="Times New Roman" w:hAnsi="Times New Roman"/>
              </w:rPr>
              <w:t>21.3%</w:t>
            </w:r>
          </w:p>
        </w:tc>
      </w:tr>
      <w:tr w:rsidR="001F09EE" w:rsidRPr="006F14E7" w14:paraId="475BA643" w14:textId="77777777" w:rsidTr="004B1E49">
        <w:trPr>
          <w:trHeight w:val="376"/>
          <w:jc w:val="center"/>
        </w:trPr>
        <w:tc>
          <w:tcPr>
            <w:tcW w:w="2483" w:type="dxa"/>
            <w:hideMark/>
          </w:tcPr>
          <w:p w14:paraId="2B475D38" w14:textId="112E2278" w:rsidR="006B38C9" w:rsidRPr="006F14E7" w:rsidRDefault="006B38C9" w:rsidP="001F09EE">
            <w:pPr>
              <w:jc w:val="center"/>
              <w:rPr>
                <w:rFonts w:ascii="Times New Roman" w:hAnsi="Times New Roman"/>
                <w:b/>
                <w:bCs/>
              </w:rPr>
            </w:pPr>
            <w:r w:rsidRPr="006F14E7">
              <w:rPr>
                <w:rFonts w:ascii="Times New Roman" w:hAnsi="Times New Roman"/>
                <w:b/>
                <w:bCs/>
              </w:rPr>
              <w:lastRenderedPageBreak/>
              <w:t xml:space="preserve">Preparatoria </w:t>
            </w:r>
          </w:p>
        </w:tc>
        <w:tc>
          <w:tcPr>
            <w:tcW w:w="812" w:type="dxa"/>
            <w:hideMark/>
          </w:tcPr>
          <w:p w14:paraId="6BCFECF5" w14:textId="77777777" w:rsidR="006B38C9" w:rsidRPr="006F14E7" w:rsidRDefault="006B38C9" w:rsidP="001F09EE">
            <w:pPr>
              <w:jc w:val="center"/>
              <w:rPr>
                <w:rFonts w:ascii="Times New Roman" w:hAnsi="Times New Roman"/>
              </w:rPr>
            </w:pPr>
            <w:r w:rsidRPr="006F14E7">
              <w:rPr>
                <w:rFonts w:ascii="Times New Roman" w:hAnsi="Times New Roman"/>
              </w:rPr>
              <w:t>9.62</w:t>
            </w:r>
          </w:p>
        </w:tc>
        <w:tc>
          <w:tcPr>
            <w:tcW w:w="812" w:type="dxa"/>
            <w:hideMark/>
          </w:tcPr>
          <w:p w14:paraId="22C25503" w14:textId="77777777" w:rsidR="006B38C9" w:rsidRPr="006F14E7" w:rsidRDefault="006B38C9" w:rsidP="001F09EE">
            <w:pPr>
              <w:jc w:val="center"/>
              <w:rPr>
                <w:rFonts w:ascii="Times New Roman" w:hAnsi="Times New Roman"/>
              </w:rPr>
            </w:pPr>
            <w:r w:rsidRPr="006F14E7">
              <w:rPr>
                <w:rFonts w:ascii="Times New Roman" w:hAnsi="Times New Roman"/>
              </w:rPr>
              <w:t>11.68</w:t>
            </w:r>
          </w:p>
        </w:tc>
        <w:tc>
          <w:tcPr>
            <w:tcW w:w="1908" w:type="dxa"/>
            <w:shd w:val="clear" w:color="auto" w:fill="D0CECE" w:themeFill="background2" w:themeFillShade="E6"/>
            <w:hideMark/>
          </w:tcPr>
          <w:p w14:paraId="14441E0C" w14:textId="77777777" w:rsidR="006B38C9" w:rsidRPr="006F14E7" w:rsidRDefault="006B38C9" w:rsidP="001F09EE">
            <w:pPr>
              <w:jc w:val="center"/>
              <w:rPr>
                <w:rFonts w:ascii="Times New Roman" w:hAnsi="Times New Roman"/>
              </w:rPr>
            </w:pPr>
            <w:r w:rsidRPr="006F14E7">
              <w:rPr>
                <w:rFonts w:ascii="Times New Roman" w:hAnsi="Times New Roman"/>
              </w:rPr>
              <w:t>21.4%</w:t>
            </w:r>
          </w:p>
        </w:tc>
        <w:tc>
          <w:tcPr>
            <w:tcW w:w="1288" w:type="dxa"/>
            <w:gridSpan w:val="2"/>
            <w:hideMark/>
          </w:tcPr>
          <w:p w14:paraId="1441708E" w14:textId="77777777" w:rsidR="006B38C9" w:rsidRPr="006F14E7" w:rsidRDefault="006B38C9" w:rsidP="001F09EE">
            <w:pPr>
              <w:jc w:val="center"/>
              <w:rPr>
                <w:rFonts w:ascii="Times New Roman" w:hAnsi="Times New Roman"/>
              </w:rPr>
            </w:pPr>
            <w:r w:rsidRPr="006F14E7">
              <w:rPr>
                <w:rFonts w:ascii="Times New Roman" w:hAnsi="Times New Roman"/>
              </w:rPr>
              <w:t>7.8%</w:t>
            </w:r>
          </w:p>
        </w:tc>
        <w:tc>
          <w:tcPr>
            <w:tcW w:w="1008" w:type="dxa"/>
            <w:hideMark/>
          </w:tcPr>
          <w:p w14:paraId="2D87A1EC" w14:textId="77777777" w:rsidR="006B38C9" w:rsidRPr="006F14E7" w:rsidRDefault="006B38C9" w:rsidP="001F09EE">
            <w:pPr>
              <w:jc w:val="center"/>
              <w:rPr>
                <w:rFonts w:ascii="Times New Roman" w:hAnsi="Times New Roman"/>
              </w:rPr>
            </w:pPr>
            <w:r w:rsidRPr="006F14E7">
              <w:rPr>
                <w:rFonts w:ascii="Times New Roman" w:hAnsi="Times New Roman"/>
              </w:rPr>
              <w:t>11.1%</w:t>
            </w:r>
          </w:p>
        </w:tc>
      </w:tr>
      <w:tr w:rsidR="001F09EE" w:rsidRPr="006F14E7" w14:paraId="55003605" w14:textId="77777777" w:rsidTr="004B1E49">
        <w:trPr>
          <w:trHeight w:val="281"/>
          <w:jc w:val="center"/>
        </w:trPr>
        <w:tc>
          <w:tcPr>
            <w:tcW w:w="2483" w:type="dxa"/>
            <w:tcBorders>
              <w:bottom w:val="single" w:sz="4" w:space="0" w:color="auto"/>
            </w:tcBorders>
            <w:hideMark/>
          </w:tcPr>
          <w:p w14:paraId="220635C7" w14:textId="5D2E3F70" w:rsidR="006B38C9" w:rsidRPr="006F14E7" w:rsidRDefault="006B38C9" w:rsidP="001F09EE">
            <w:pPr>
              <w:jc w:val="center"/>
              <w:rPr>
                <w:rFonts w:ascii="Times New Roman" w:hAnsi="Times New Roman"/>
                <w:b/>
                <w:bCs/>
              </w:rPr>
            </w:pPr>
            <w:r w:rsidRPr="006F14E7">
              <w:rPr>
                <w:rFonts w:ascii="Times New Roman" w:hAnsi="Times New Roman"/>
                <w:b/>
                <w:bCs/>
              </w:rPr>
              <w:t xml:space="preserve">Universidad </w:t>
            </w:r>
          </w:p>
        </w:tc>
        <w:tc>
          <w:tcPr>
            <w:tcW w:w="812" w:type="dxa"/>
            <w:tcBorders>
              <w:bottom w:val="single" w:sz="4" w:space="0" w:color="auto"/>
            </w:tcBorders>
          </w:tcPr>
          <w:p w14:paraId="6349DA2C" w14:textId="77777777" w:rsidR="006B38C9" w:rsidRPr="006F14E7" w:rsidRDefault="006B38C9" w:rsidP="001F09EE">
            <w:pPr>
              <w:jc w:val="center"/>
              <w:rPr>
                <w:rFonts w:ascii="Times New Roman" w:hAnsi="Times New Roman"/>
              </w:rPr>
            </w:pPr>
            <w:r w:rsidRPr="006F14E7">
              <w:rPr>
                <w:rFonts w:ascii="Times New Roman" w:hAnsi="Times New Roman"/>
              </w:rPr>
              <w:t>14.93</w:t>
            </w:r>
          </w:p>
        </w:tc>
        <w:tc>
          <w:tcPr>
            <w:tcW w:w="812" w:type="dxa"/>
            <w:tcBorders>
              <w:bottom w:val="single" w:sz="4" w:space="0" w:color="auto"/>
            </w:tcBorders>
          </w:tcPr>
          <w:p w14:paraId="2343C3BF" w14:textId="77777777" w:rsidR="006B38C9" w:rsidRPr="006F14E7" w:rsidRDefault="006B38C9" w:rsidP="001F09EE">
            <w:pPr>
              <w:jc w:val="center"/>
              <w:rPr>
                <w:rFonts w:ascii="Times New Roman" w:hAnsi="Times New Roman"/>
              </w:rPr>
            </w:pPr>
            <w:r w:rsidRPr="006F14E7">
              <w:rPr>
                <w:rFonts w:ascii="Times New Roman" w:hAnsi="Times New Roman"/>
              </w:rPr>
              <w:t>21.96</w:t>
            </w:r>
          </w:p>
        </w:tc>
        <w:tc>
          <w:tcPr>
            <w:tcW w:w="1908" w:type="dxa"/>
            <w:tcBorders>
              <w:bottom w:val="single" w:sz="4" w:space="0" w:color="auto"/>
            </w:tcBorders>
            <w:shd w:val="clear" w:color="auto" w:fill="D0CECE" w:themeFill="background2" w:themeFillShade="E6"/>
          </w:tcPr>
          <w:p w14:paraId="79B9303A" w14:textId="77777777" w:rsidR="006B38C9" w:rsidRPr="006F14E7" w:rsidRDefault="006B38C9" w:rsidP="001F09EE">
            <w:pPr>
              <w:jc w:val="center"/>
              <w:rPr>
                <w:rFonts w:ascii="Times New Roman" w:hAnsi="Times New Roman"/>
              </w:rPr>
            </w:pPr>
            <w:r w:rsidRPr="006F14E7">
              <w:rPr>
                <w:rFonts w:ascii="Times New Roman" w:hAnsi="Times New Roman"/>
              </w:rPr>
              <w:t>47.1%</w:t>
            </w:r>
          </w:p>
        </w:tc>
        <w:tc>
          <w:tcPr>
            <w:tcW w:w="1288" w:type="dxa"/>
            <w:gridSpan w:val="2"/>
            <w:tcBorders>
              <w:bottom w:val="single" w:sz="4" w:space="0" w:color="auto"/>
            </w:tcBorders>
          </w:tcPr>
          <w:p w14:paraId="507C29F7" w14:textId="77777777" w:rsidR="006B38C9" w:rsidRPr="006F14E7" w:rsidRDefault="006B38C9" w:rsidP="001F09EE">
            <w:pPr>
              <w:jc w:val="center"/>
              <w:rPr>
                <w:rFonts w:ascii="Times New Roman" w:hAnsi="Times New Roman"/>
              </w:rPr>
            </w:pPr>
            <w:r w:rsidRPr="006F14E7">
              <w:rPr>
                <w:rFonts w:ascii="Times New Roman" w:hAnsi="Times New Roman"/>
              </w:rPr>
              <w:t>4.5%</w:t>
            </w:r>
          </w:p>
        </w:tc>
        <w:tc>
          <w:tcPr>
            <w:tcW w:w="1008" w:type="dxa"/>
            <w:tcBorders>
              <w:bottom w:val="single" w:sz="4" w:space="0" w:color="auto"/>
            </w:tcBorders>
          </w:tcPr>
          <w:p w14:paraId="4662BD2D" w14:textId="77777777" w:rsidR="006B38C9" w:rsidRPr="006F14E7" w:rsidRDefault="006B38C9" w:rsidP="001F09EE">
            <w:pPr>
              <w:jc w:val="center"/>
              <w:rPr>
                <w:rFonts w:ascii="Times New Roman" w:hAnsi="Times New Roman"/>
              </w:rPr>
            </w:pPr>
            <w:r w:rsidRPr="006F14E7">
              <w:rPr>
                <w:rFonts w:ascii="Times New Roman" w:hAnsi="Times New Roman"/>
              </w:rPr>
              <w:t>6.6%</w:t>
            </w:r>
          </w:p>
        </w:tc>
      </w:tr>
    </w:tbl>
    <w:p w14:paraId="04255362" w14:textId="427363CF" w:rsidR="006B38C9" w:rsidRPr="006F14E7" w:rsidRDefault="006B38C9" w:rsidP="009E3B50">
      <w:pPr>
        <w:spacing w:after="0" w:line="240" w:lineRule="auto"/>
        <w:rPr>
          <w:rFonts w:ascii="Times New Roman" w:eastAsia="Times New Roman" w:hAnsi="Times New Roman" w:cs="Times New Roman"/>
          <w:color w:val="2F2F2F"/>
        </w:rPr>
      </w:pPr>
      <w:r w:rsidRPr="006F14E7">
        <w:rPr>
          <w:rFonts w:ascii="Times New Roman" w:eastAsia="Times New Roman" w:hAnsi="Times New Roman" w:cs="Times New Roman"/>
          <w:b/>
          <w:bCs/>
          <w:color w:val="2F2F2F"/>
        </w:rPr>
        <w:t>Fuente:</w:t>
      </w:r>
      <w:r w:rsidRPr="006F14E7">
        <w:rPr>
          <w:rFonts w:ascii="Times New Roman" w:eastAsia="Times New Roman" w:hAnsi="Times New Roman" w:cs="Times New Roman"/>
          <w:color w:val="2F2F2F"/>
        </w:rPr>
        <w:t xml:space="preserve"> </w:t>
      </w:r>
      <w:r w:rsidR="00B0243D" w:rsidRPr="006F14E7">
        <w:rPr>
          <w:rFonts w:ascii="Times New Roman" w:eastAsia="Times New Roman" w:hAnsi="Times New Roman" w:cs="Times New Roman"/>
          <w:color w:val="2F2F2F"/>
        </w:rPr>
        <w:t>(</w:t>
      </w:r>
      <w:proofErr w:type="spellStart"/>
      <w:r w:rsidRPr="006F14E7">
        <w:rPr>
          <w:rFonts w:ascii="Times New Roman" w:eastAsia="Times New Roman" w:hAnsi="Times New Roman" w:cs="Times New Roman"/>
          <w:color w:val="2F2F2F"/>
        </w:rPr>
        <w:t>Ulrich</w:t>
      </w:r>
      <w:proofErr w:type="spellEnd"/>
      <w:r w:rsidRPr="006F14E7">
        <w:rPr>
          <w:rFonts w:ascii="Times New Roman" w:eastAsia="Times New Roman" w:hAnsi="Times New Roman" w:cs="Times New Roman"/>
          <w:color w:val="2F2F2F"/>
        </w:rPr>
        <w:t>, 1998:4</w:t>
      </w:r>
      <w:r w:rsidR="00B0243D" w:rsidRPr="006F14E7">
        <w:rPr>
          <w:rFonts w:ascii="Times New Roman" w:eastAsia="Times New Roman" w:hAnsi="Times New Roman" w:cs="Times New Roman"/>
          <w:color w:val="2F2F2F"/>
        </w:rPr>
        <w:t>).</w:t>
      </w:r>
    </w:p>
    <w:p w14:paraId="344D226A" w14:textId="77777777" w:rsidR="003433D9" w:rsidRPr="006F14E7" w:rsidRDefault="003433D9" w:rsidP="009E3B50">
      <w:pPr>
        <w:spacing w:after="0" w:line="240" w:lineRule="auto"/>
        <w:jc w:val="both"/>
        <w:rPr>
          <w:rFonts w:ascii="Times New Roman" w:hAnsi="Times New Roman" w:cs="Times New Roman"/>
          <w:sz w:val="24"/>
          <w:szCs w:val="24"/>
        </w:rPr>
      </w:pPr>
    </w:p>
    <w:p w14:paraId="02267CE9" w14:textId="318BE920" w:rsidR="006B38C9" w:rsidRPr="006F14E7" w:rsidRDefault="00FE12B4"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De acuerdo con el Programa Nacional de Salud 199</w:t>
      </w:r>
      <w:r w:rsidR="007913C3" w:rsidRPr="006F14E7">
        <w:rPr>
          <w:rFonts w:ascii="Times New Roman" w:hAnsi="Times New Roman" w:cs="Times New Roman"/>
          <w:sz w:val="24"/>
          <w:szCs w:val="24"/>
        </w:rPr>
        <w:t>1</w:t>
      </w:r>
      <w:r w:rsidRPr="006F14E7">
        <w:rPr>
          <w:rFonts w:ascii="Times New Roman" w:hAnsi="Times New Roman" w:cs="Times New Roman"/>
          <w:sz w:val="24"/>
          <w:szCs w:val="24"/>
        </w:rPr>
        <w:t>-1994, el acceso a la educación secundaria estuvo solo al alcance de cuatro por cada cinco egresados de primaria</w:t>
      </w:r>
      <w:bookmarkStart w:id="4" w:name="_Hlk56416317"/>
      <w:r w:rsidRPr="006F14E7">
        <w:rPr>
          <w:rFonts w:ascii="Times New Roman" w:hAnsi="Times New Roman" w:cs="Times New Roman"/>
          <w:sz w:val="24"/>
          <w:szCs w:val="24"/>
        </w:rPr>
        <w:t xml:space="preserve"> en 1990, situación </w:t>
      </w:r>
      <w:r w:rsidR="00E92763" w:rsidRPr="006F14E7">
        <w:rPr>
          <w:rFonts w:ascii="Times New Roman" w:hAnsi="Times New Roman" w:cs="Times New Roman"/>
          <w:sz w:val="24"/>
          <w:szCs w:val="24"/>
        </w:rPr>
        <w:t>que coincidió</w:t>
      </w:r>
      <w:r w:rsidRPr="006F14E7">
        <w:rPr>
          <w:rFonts w:ascii="Times New Roman" w:hAnsi="Times New Roman" w:cs="Times New Roman"/>
          <w:sz w:val="24"/>
          <w:szCs w:val="24"/>
        </w:rPr>
        <w:t xml:space="preserve"> con la media </w:t>
      </w:r>
      <w:proofErr w:type="gramStart"/>
      <w:r w:rsidRPr="006F14E7">
        <w:rPr>
          <w:rFonts w:ascii="Times New Roman" w:hAnsi="Times New Roman" w:cs="Times New Roman"/>
          <w:sz w:val="24"/>
          <w:szCs w:val="24"/>
        </w:rPr>
        <w:t>nacional</w:t>
      </w:r>
      <w:r w:rsidRPr="006F14E7">
        <w:rPr>
          <w:rFonts w:ascii="Times New Roman" w:hAnsi="Times New Roman" w:cs="Times New Roman"/>
          <w:sz w:val="24"/>
          <w:szCs w:val="24"/>
          <w:vertAlign w:val="superscript"/>
        </w:rPr>
        <w:t>(</w:t>
      </w:r>
      <w:proofErr w:type="gramEnd"/>
      <w:r w:rsidR="00EB32DF" w:rsidRPr="006F14E7">
        <w:rPr>
          <w:rFonts w:ascii="Times New Roman" w:hAnsi="Times New Roman" w:cs="Times New Roman"/>
          <w:sz w:val="24"/>
          <w:szCs w:val="24"/>
          <w:vertAlign w:val="superscript"/>
        </w:rPr>
        <w:t>9</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que para entonces se estimó en 6.5 años</w:t>
      </w:r>
      <w:r w:rsidR="00EB32DF" w:rsidRPr="006F14E7">
        <w:rPr>
          <w:rFonts w:ascii="Times New Roman" w:hAnsi="Times New Roman" w:cs="Times New Roman"/>
          <w:sz w:val="24"/>
          <w:szCs w:val="24"/>
          <w:vertAlign w:val="superscript"/>
        </w:rPr>
        <w:t>(10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bookmarkEnd w:id="4"/>
      <w:r w:rsidRPr="006F14E7">
        <w:rPr>
          <w:rFonts w:ascii="Times New Roman" w:hAnsi="Times New Roman" w:cs="Times New Roman"/>
          <w:sz w:val="24"/>
          <w:szCs w:val="24"/>
        </w:rPr>
        <w:t xml:space="preserve"> </w:t>
      </w:r>
      <w:r w:rsidR="00E92763" w:rsidRPr="006F14E7">
        <w:rPr>
          <w:rFonts w:ascii="Times New Roman" w:hAnsi="Times New Roman" w:cs="Times New Roman"/>
          <w:sz w:val="24"/>
          <w:szCs w:val="24"/>
        </w:rPr>
        <w:t>No obstante</w:t>
      </w:r>
      <w:r w:rsidR="006B38C9" w:rsidRPr="006F14E7">
        <w:rPr>
          <w:rFonts w:ascii="Times New Roman" w:hAnsi="Times New Roman" w:cs="Times New Roman"/>
          <w:sz w:val="24"/>
          <w:szCs w:val="24"/>
        </w:rPr>
        <w:t xml:space="preserve">, se observó un grado de analfabetismo del 41% </w:t>
      </w:r>
      <w:r w:rsidR="00E92763" w:rsidRPr="006F14E7">
        <w:rPr>
          <w:rFonts w:ascii="Times New Roman" w:hAnsi="Times New Roman" w:cs="Times New Roman"/>
          <w:sz w:val="24"/>
          <w:szCs w:val="24"/>
        </w:rPr>
        <w:t>en</w:t>
      </w:r>
      <w:r w:rsidR="006B38C9" w:rsidRPr="006F14E7">
        <w:rPr>
          <w:rFonts w:ascii="Times New Roman" w:hAnsi="Times New Roman" w:cs="Times New Roman"/>
          <w:sz w:val="24"/>
          <w:szCs w:val="24"/>
        </w:rPr>
        <w:t xml:space="preserve"> la población indígena de más de catorce </w:t>
      </w:r>
      <w:r w:rsidR="00E92763" w:rsidRPr="006F14E7">
        <w:rPr>
          <w:rFonts w:ascii="Times New Roman" w:hAnsi="Times New Roman" w:cs="Times New Roman"/>
          <w:sz w:val="24"/>
          <w:szCs w:val="24"/>
        </w:rPr>
        <w:t>años</w:t>
      </w:r>
      <w:r w:rsidR="006B38C9" w:rsidRPr="006F14E7">
        <w:rPr>
          <w:rFonts w:ascii="Times New Roman" w:hAnsi="Times New Roman" w:cs="Times New Roman"/>
          <w:sz w:val="24"/>
          <w:szCs w:val="24"/>
        </w:rPr>
        <w:t xml:space="preserve">. Asociado a ello, 83% de los trabajadores de este grupo social, recibió menos de dos salarios </w:t>
      </w:r>
      <w:proofErr w:type="gramStart"/>
      <w:r w:rsidR="006B38C9" w:rsidRPr="006F14E7">
        <w:rPr>
          <w:rFonts w:ascii="Times New Roman" w:hAnsi="Times New Roman" w:cs="Times New Roman"/>
          <w:sz w:val="24"/>
          <w:szCs w:val="24"/>
        </w:rPr>
        <w:t>mínimos</w:t>
      </w:r>
      <w:r w:rsidR="006B38C9" w:rsidRPr="006F14E7">
        <w:rPr>
          <w:rFonts w:ascii="Times New Roman" w:hAnsi="Times New Roman" w:cs="Times New Roman"/>
          <w:color w:val="2F2F2F"/>
          <w:sz w:val="24"/>
          <w:szCs w:val="24"/>
          <w:vertAlign w:val="superscript"/>
        </w:rPr>
        <w:t>(</w:t>
      </w:r>
      <w:proofErr w:type="gramEnd"/>
      <w:r w:rsidR="00EB32DF" w:rsidRPr="006F14E7">
        <w:rPr>
          <w:rFonts w:ascii="Times New Roman" w:hAnsi="Times New Roman" w:cs="Times New Roman"/>
          <w:color w:val="2F2F2F"/>
          <w:sz w:val="24"/>
          <w:szCs w:val="24"/>
          <w:vertAlign w:val="superscript"/>
        </w:rPr>
        <w:t>11</w:t>
      </w:r>
      <w:r w:rsidR="006B38C9" w:rsidRPr="006F14E7">
        <w:rPr>
          <w:rFonts w:ascii="Times New Roman" w:hAnsi="Times New Roman" w:cs="Times New Roman"/>
          <w:color w:val="2F2F2F"/>
          <w:sz w:val="24"/>
          <w:szCs w:val="24"/>
          <w:vertAlign w:val="superscript"/>
        </w:rPr>
        <w:t>)</w:t>
      </w:r>
      <w:r w:rsidR="006B38C9" w:rsidRPr="006F14E7">
        <w:rPr>
          <w:rFonts w:ascii="Times New Roman" w:hAnsi="Times New Roman" w:cs="Times New Roman"/>
          <w:color w:val="2F2F2F"/>
          <w:sz w:val="24"/>
          <w:szCs w:val="24"/>
        </w:rPr>
        <w:t>.</w:t>
      </w:r>
      <w:r w:rsidR="00D6570D" w:rsidRPr="006F14E7">
        <w:rPr>
          <w:rFonts w:ascii="Times New Roman" w:hAnsi="Times New Roman" w:cs="Times New Roman"/>
          <w:b/>
          <w:color w:val="2F2F2F"/>
          <w:sz w:val="24"/>
          <w:szCs w:val="24"/>
        </w:rPr>
        <w:t xml:space="preserve"> </w:t>
      </w:r>
      <w:r w:rsidR="00B07F6F" w:rsidRPr="006F14E7">
        <w:rPr>
          <w:rFonts w:ascii="Times New Roman" w:hAnsi="Times New Roman" w:cs="Times New Roman"/>
          <w:sz w:val="24"/>
          <w:szCs w:val="24"/>
        </w:rPr>
        <w:t>Cabe señalar que el artículo 123° constitucional</w:t>
      </w:r>
      <w:r w:rsidR="00E92763" w:rsidRPr="006F14E7">
        <w:rPr>
          <w:rFonts w:ascii="Times New Roman" w:hAnsi="Times New Roman" w:cs="Times New Roman"/>
          <w:sz w:val="24"/>
          <w:szCs w:val="24"/>
        </w:rPr>
        <w:t xml:space="preserve"> establece que</w:t>
      </w:r>
      <w:r w:rsidR="00B07F6F" w:rsidRPr="006F14E7">
        <w:rPr>
          <w:rFonts w:ascii="Times New Roman" w:hAnsi="Times New Roman" w:cs="Times New Roman"/>
          <w:sz w:val="24"/>
          <w:szCs w:val="24"/>
        </w:rPr>
        <w:t>, “los salarios mínimos generales deberán ser suficientes para satisfacer las necesidades normales de un jefe de familia, en el orden material, social y cultural, y para proveer a la educación obligatoria de los hijos</w:t>
      </w:r>
      <w:proofErr w:type="gramStart"/>
      <w:r w:rsidR="00B07F6F" w:rsidRPr="006F14E7">
        <w:rPr>
          <w:rFonts w:ascii="Times New Roman" w:hAnsi="Times New Roman" w:cs="Times New Roman"/>
          <w:sz w:val="24"/>
          <w:szCs w:val="24"/>
        </w:rPr>
        <w:t>”</w:t>
      </w:r>
      <w:r w:rsidR="00B07F6F" w:rsidRPr="006F14E7">
        <w:rPr>
          <w:rFonts w:ascii="Times New Roman" w:hAnsi="Times New Roman" w:cs="Times New Roman"/>
          <w:sz w:val="24"/>
          <w:szCs w:val="24"/>
          <w:vertAlign w:val="superscript"/>
        </w:rPr>
        <w:t>(</w:t>
      </w:r>
      <w:proofErr w:type="gramEnd"/>
      <w:r w:rsidR="00474774" w:rsidRPr="006F14E7">
        <w:rPr>
          <w:rFonts w:ascii="Times New Roman" w:hAnsi="Times New Roman" w:cs="Times New Roman"/>
          <w:sz w:val="24"/>
          <w:szCs w:val="24"/>
          <w:vertAlign w:val="superscript"/>
        </w:rPr>
        <w:t>12</w:t>
      </w:r>
      <w:r w:rsidR="00B07F6F" w:rsidRPr="006F14E7">
        <w:rPr>
          <w:rFonts w:ascii="Times New Roman" w:hAnsi="Times New Roman" w:cs="Times New Roman"/>
          <w:sz w:val="24"/>
          <w:szCs w:val="24"/>
          <w:vertAlign w:val="superscript"/>
        </w:rPr>
        <w:t>)</w:t>
      </w:r>
      <w:r w:rsidR="00B07F6F" w:rsidRPr="006F14E7">
        <w:rPr>
          <w:rFonts w:ascii="Times New Roman" w:hAnsi="Times New Roman" w:cs="Times New Roman"/>
          <w:sz w:val="24"/>
          <w:szCs w:val="24"/>
        </w:rPr>
        <w:t>.</w:t>
      </w:r>
    </w:p>
    <w:p w14:paraId="2D359F9B" w14:textId="77777777" w:rsidR="00B07F6F" w:rsidRPr="006F14E7" w:rsidRDefault="00B07F6F" w:rsidP="009E3B50">
      <w:pPr>
        <w:pStyle w:val="Subttulo1"/>
        <w:jc w:val="both"/>
        <w:rPr>
          <w:b w:val="0"/>
          <w:color w:val="2F2F2F"/>
          <w:sz w:val="24"/>
          <w:szCs w:val="24"/>
          <w:lang w:val="es-MX" w:eastAsia="en-US"/>
        </w:rPr>
      </w:pPr>
    </w:p>
    <w:p w14:paraId="5C649BAE" w14:textId="251571FB" w:rsidR="00D6570D" w:rsidRPr="006F14E7" w:rsidRDefault="006B38C9" w:rsidP="009E3B50">
      <w:pPr>
        <w:pStyle w:val="Subttulo1"/>
        <w:jc w:val="both"/>
        <w:rPr>
          <w:b w:val="0"/>
          <w:color w:val="2F2F2F"/>
          <w:sz w:val="24"/>
          <w:szCs w:val="24"/>
          <w:lang w:val="es-MX" w:eastAsia="en-US"/>
        </w:rPr>
      </w:pPr>
      <w:r w:rsidRPr="006F14E7">
        <w:rPr>
          <w:rFonts w:eastAsiaTheme="minorEastAsia"/>
          <w:b w:val="0"/>
          <w:color w:val="auto"/>
          <w:sz w:val="24"/>
          <w:szCs w:val="24"/>
          <w:lang w:val="es-ES" w:eastAsia="es-ES"/>
        </w:rPr>
        <w:t>Posteriormente, la media nacional del grado de escolaridad de la PAE paso de 7 años en 1995</w:t>
      </w:r>
      <w:r w:rsidRPr="006F14E7">
        <w:rPr>
          <w:b w:val="0"/>
          <w:color w:val="2F2F2F"/>
          <w:sz w:val="24"/>
          <w:szCs w:val="24"/>
          <w:vertAlign w:val="superscript"/>
          <w:lang w:val="es-MX" w:eastAsia="en-US"/>
        </w:rPr>
        <w:t>(</w:t>
      </w:r>
      <w:r w:rsidR="00474774" w:rsidRPr="006F14E7">
        <w:rPr>
          <w:b w:val="0"/>
          <w:color w:val="2F2F2F"/>
          <w:sz w:val="24"/>
          <w:szCs w:val="24"/>
          <w:vertAlign w:val="superscript"/>
          <w:lang w:val="es-MX" w:eastAsia="en-US"/>
        </w:rPr>
        <w:t>13</w:t>
      </w:r>
      <w:r w:rsidRPr="006F14E7">
        <w:rPr>
          <w:b w:val="0"/>
          <w:color w:val="2F2F2F"/>
          <w:sz w:val="24"/>
          <w:szCs w:val="24"/>
          <w:vertAlign w:val="superscript"/>
          <w:lang w:val="es-MX" w:eastAsia="en-US"/>
        </w:rPr>
        <w:t>)</w:t>
      </w:r>
      <w:r w:rsidRPr="006F14E7">
        <w:rPr>
          <w:b w:val="0"/>
          <w:color w:val="2F2F2F"/>
          <w:sz w:val="24"/>
          <w:szCs w:val="24"/>
          <w:lang w:val="es-MX" w:eastAsia="en-US"/>
        </w:rPr>
        <w:t xml:space="preserve">, </w:t>
      </w:r>
      <w:r w:rsidRPr="006F14E7">
        <w:rPr>
          <w:rFonts w:eastAsiaTheme="minorEastAsia"/>
          <w:b w:val="0"/>
          <w:color w:val="auto"/>
          <w:sz w:val="24"/>
          <w:szCs w:val="24"/>
          <w:lang w:val="es-ES" w:eastAsia="es-ES"/>
        </w:rPr>
        <w:t>a 7.5 años en el año 2001, no obstante, s</w:t>
      </w:r>
      <w:r w:rsidR="00AB7AA6" w:rsidRPr="006F14E7">
        <w:rPr>
          <w:rFonts w:eastAsiaTheme="minorEastAsia"/>
          <w:b w:val="0"/>
          <w:color w:val="auto"/>
          <w:sz w:val="24"/>
          <w:szCs w:val="24"/>
          <w:lang w:val="es-ES" w:eastAsia="es-ES"/>
        </w:rPr>
        <w:t>o</w:t>
      </w:r>
      <w:r w:rsidRPr="006F14E7">
        <w:rPr>
          <w:rFonts w:eastAsiaTheme="minorEastAsia"/>
          <w:b w:val="0"/>
          <w:color w:val="auto"/>
          <w:sz w:val="24"/>
          <w:szCs w:val="24"/>
          <w:lang w:val="es-ES" w:eastAsia="es-ES"/>
        </w:rPr>
        <w:t xml:space="preserve">lo uno de cada cinco jóvenes tuvo acceso a una educación </w:t>
      </w:r>
      <w:proofErr w:type="gramStart"/>
      <w:r w:rsidRPr="006F14E7">
        <w:rPr>
          <w:rFonts w:eastAsiaTheme="minorEastAsia"/>
          <w:b w:val="0"/>
          <w:color w:val="auto"/>
          <w:sz w:val="24"/>
          <w:szCs w:val="24"/>
          <w:lang w:val="es-ES" w:eastAsia="es-ES"/>
        </w:rPr>
        <w:t>universitaria</w:t>
      </w:r>
      <w:r w:rsidRPr="006F14E7">
        <w:rPr>
          <w:b w:val="0"/>
          <w:color w:val="2F2F2F"/>
          <w:sz w:val="24"/>
          <w:szCs w:val="24"/>
          <w:vertAlign w:val="superscript"/>
          <w:lang w:val="es-MX" w:eastAsia="en-US"/>
        </w:rPr>
        <w:t>(</w:t>
      </w:r>
      <w:proofErr w:type="gramEnd"/>
      <w:r w:rsidR="00474774" w:rsidRPr="006F14E7">
        <w:rPr>
          <w:b w:val="0"/>
          <w:color w:val="2F2F2F"/>
          <w:sz w:val="24"/>
          <w:szCs w:val="24"/>
          <w:vertAlign w:val="superscript"/>
          <w:lang w:val="es-MX" w:eastAsia="en-US"/>
        </w:rPr>
        <w:t>14</w:t>
      </w:r>
      <w:r w:rsidRPr="006F14E7">
        <w:rPr>
          <w:b w:val="0"/>
          <w:color w:val="2F2F2F"/>
          <w:sz w:val="24"/>
          <w:szCs w:val="24"/>
          <w:vertAlign w:val="superscript"/>
          <w:lang w:val="es-MX" w:eastAsia="en-US"/>
        </w:rPr>
        <w:t>)</w:t>
      </w:r>
      <w:r w:rsidRPr="006F14E7">
        <w:rPr>
          <w:b w:val="0"/>
          <w:color w:val="2F2F2F"/>
          <w:sz w:val="24"/>
          <w:szCs w:val="24"/>
          <w:lang w:val="es-MX" w:eastAsia="en-US"/>
        </w:rPr>
        <w:t xml:space="preserve">. </w:t>
      </w:r>
      <w:r w:rsidRPr="006F14E7">
        <w:rPr>
          <w:rFonts w:eastAsiaTheme="minorEastAsia"/>
          <w:b w:val="0"/>
          <w:color w:val="auto"/>
          <w:sz w:val="24"/>
          <w:szCs w:val="24"/>
          <w:lang w:val="es-ES" w:eastAsia="es-ES"/>
        </w:rPr>
        <w:t>Mientras que el 29.9% de las mujeres mayores de 15 años no recibieron algún tipo de instrucción académica, situación que limitó su</w:t>
      </w:r>
      <w:r w:rsidR="00FE3590" w:rsidRPr="006F14E7">
        <w:rPr>
          <w:rFonts w:eastAsiaTheme="minorEastAsia"/>
          <w:b w:val="0"/>
          <w:color w:val="auto"/>
          <w:sz w:val="24"/>
          <w:szCs w:val="24"/>
          <w:lang w:val="es-ES" w:eastAsia="es-ES"/>
        </w:rPr>
        <w:t xml:space="preserve"> salario al</w:t>
      </w:r>
      <w:r w:rsidRPr="006F14E7">
        <w:rPr>
          <w:rFonts w:eastAsiaTheme="minorEastAsia"/>
          <w:b w:val="0"/>
          <w:color w:val="auto"/>
          <w:sz w:val="24"/>
          <w:szCs w:val="24"/>
          <w:lang w:val="es-ES" w:eastAsia="es-ES"/>
        </w:rPr>
        <w:t xml:space="preserve"> integra</w:t>
      </w:r>
      <w:r w:rsidR="00FE3590" w:rsidRPr="006F14E7">
        <w:rPr>
          <w:rFonts w:eastAsiaTheme="minorEastAsia"/>
          <w:b w:val="0"/>
          <w:color w:val="auto"/>
          <w:sz w:val="24"/>
          <w:szCs w:val="24"/>
          <w:lang w:val="es-ES" w:eastAsia="es-ES"/>
        </w:rPr>
        <w:t>rse</w:t>
      </w:r>
      <w:r w:rsidRPr="006F14E7">
        <w:rPr>
          <w:rFonts w:eastAsiaTheme="minorEastAsia"/>
          <w:b w:val="0"/>
          <w:color w:val="auto"/>
          <w:sz w:val="24"/>
          <w:szCs w:val="24"/>
          <w:lang w:val="es-ES" w:eastAsia="es-ES"/>
        </w:rPr>
        <w:t xml:space="preserve"> al mercado </w:t>
      </w:r>
      <w:proofErr w:type="gramStart"/>
      <w:r w:rsidRPr="006F14E7">
        <w:rPr>
          <w:rFonts w:eastAsiaTheme="minorEastAsia"/>
          <w:b w:val="0"/>
          <w:color w:val="auto"/>
          <w:sz w:val="24"/>
          <w:szCs w:val="24"/>
          <w:lang w:val="es-ES" w:eastAsia="es-ES"/>
        </w:rPr>
        <w:t>laboral</w:t>
      </w:r>
      <w:r w:rsidRPr="006F14E7">
        <w:rPr>
          <w:b w:val="0"/>
          <w:color w:val="2F2F2F"/>
          <w:sz w:val="24"/>
          <w:szCs w:val="24"/>
          <w:vertAlign w:val="superscript"/>
          <w:lang w:val="es-MX" w:eastAsia="en-US"/>
        </w:rPr>
        <w:t>(</w:t>
      </w:r>
      <w:proofErr w:type="gramEnd"/>
      <w:r w:rsidR="00474774" w:rsidRPr="006F14E7">
        <w:rPr>
          <w:b w:val="0"/>
          <w:color w:val="2F2F2F"/>
          <w:sz w:val="24"/>
          <w:szCs w:val="24"/>
          <w:vertAlign w:val="superscript"/>
          <w:lang w:val="es-MX" w:eastAsia="en-US"/>
        </w:rPr>
        <w:t>14</w:t>
      </w:r>
      <w:r w:rsidRPr="006F14E7">
        <w:rPr>
          <w:b w:val="0"/>
          <w:color w:val="2F2F2F"/>
          <w:sz w:val="24"/>
          <w:szCs w:val="24"/>
          <w:vertAlign w:val="superscript"/>
          <w:lang w:val="es-MX" w:eastAsia="en-US"/>
        </w:rPr>
        <w:t>)</w:t>
      </w:r>
      <w:r w:rsidRPr="006F14E7">
        <w:rPr>
          <w:b w:val="0"/>
          <w:color w:val="2F2F2F"/>
          <w:sz w:val="24"/>
          <w:szCs w:val="24"/>
          <w:lang w:val="es-MX" w:eastAsia="en-US"/>
        </w:rPr>
        <w:t>.</w:t>
      </w:r>
    </w:p>
    <w:p w14:paraId="20370171" w14:textId="77777777" w:rsidR="009E3B50" w:rsidRPr="006F14E7" w:rsidRDefault="009E3B50" w:rsidP="009E3B50">
      <w:pPr>
        <w:pStyle w:val="Subttulo1"/>
        <w:jc w:val="both"/>
        <w:rPr>
          <w:b w:val="0"/>
          <w:color w:val="2F2F2F"/>
          <w:sz w:val="24"/>
          <w:szCs w:val="24"/>
          <w:lang w:val="es-MX" w:eastAsia="en-US"/>
        </w:rPr>
      </w:pPr>
    </w:p>
    <w:p w14:paraId="28AC8EEC" w14:textId="77777777" w:rsidR="006B38C9" w:rsidRPr="006F14E7" w:rsidRDefault="006B38C9" w:rsidP="009E3B50">
      <w:pPr>
        <w:pStyle w:val="Subttulo1"/>
        <w:jc w:val="both"/>
        <w:rPr>
          <w:b w:val="0"/>
          <w:color w:val="2F2F2F"/>
          <w:sz w:val="24"/>
          <w:szCs w:val="24"/>
          <w:lang w:val="es-MX"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660"/>
      </w:tblGrid>
      <w:tr w:rsidR="006B38C9" w:rsidRPr="006F14E7" w14:paraId="6944FC08" w14:textId="77777777" w:rsidTr="004B1E49">
        <w:trPr>
          <w:trHeight w:val="411"/>
          <w:jc w:val="center"/>
        </w:trPr>
        <w:tc>
          <w:tcPr>
            <w:tcW w:w="4943" w:type="dxa"/>
            <w:gridSpan w:val="2"/>
            <w:tcBorders>
              <w:top w:val="single" w:sz="4" w:space="0" w:color="auto"/>
              <w:bottom w:val="single" w:sz="4" w:space="0" w:color="auto"/>
            </w:tcBorders>
            <w:shd w:val="clear" w:color="auto" w:fill="E7E6E6" w:themeFill="background2"/>
            <w:hideMark/>
          </w:tcPr>
          <w:p w14:paraId="7EF3C7CD" w14:textId="7F62647D" w:rsidR="006B38C9" w:rsidRPr="006F14E7" w:rsidRDefault="00BB255B" w:rsidP="009E3B50">
            <w:pPr>
              <w:autoSpaceDE w:val="0"/>
              <w:autoSpaceDN w:val="0"/>
              <w:adjustRightInd w:val="0"/>
              <w:jc w:val="center"/>
              <w:rPr>
                <w:rFonts w:ascii="Times New Roman" w:hAnsi="Times New Roman"/>
                <w:b/>
                <w:bCs/>
                <w:color w:val="2F2F2F"/>
              </w:rPr>
            </w:pPr>
            <w:r w:rsidRPr="006F14E7">
              <w:rPr>
                <w:rFonts w:ascii="Times New Roman" w:hAnsi="Times New Roman"/>
                <w:b/>
                <w:bCs/>
              </w:rPr>
              <w:t xml:space="preserve">Tabla 2. </w:t>
            </w:r>
            <w:r w:rsidR="006B38C9" w:rsidRPr="006F14E7">
              <w:rPr>
                <w:rFonts w:ascii="Times New Roman" w:hAnsi="Times New Roman"/>
              </w:rPr>
              <w:t>Salarios en México para el año 2000</w:t>
            </w:r>
          </w:p>
        </w:tc>
      </w:tr>
      <w:tr w:rsidR="006B38C9" w:rsidRPr="006F14E7" w14:paraId="10DAEB31" w14:textId="77777777" w:rsidTr="004B1E49">
        <w:trPr>
          <w:trHeight w:val="420"/>
          <w:jc w:val="center"/>
        </w:trPr>
        <w:tc>
          <w:tcPr>
            <w:tcW w:w="2283" w:type="dxa"/>
            <w:tcBorders>
              <w:top w:val="single" w:sz="4" w:space="0" w:color="auto"/>
            </w:tcBorders>
            <w:hideMark/>
          </w:tcPr>
          <w:p w14:paraId="1685A2CA" w14:textId="77777777" w:rsidR="006B38C9" w:rsidRPr="006F14E7" w:rsidRDefault="006B38C9" w:rsidP="009E3B50">
            <w:pPr>
              <w:autoSpaceDE w:val="0"/>
              <w:autoSpaceDN w:val="0"/>
              <w:adjustRightInd w:val="0"/>
              <w:jc w:val="center"/>
              <w:rPr>
                <w:rFonts w:ascii="Times New Roman" w:hAnsi="Times New Roman"/>
                <w:b/>
                <w:bCs/>
                <w:color w:val="2F2F2F"/>
              </w:rPr>
            </w:pPr>
            <w:r w:rsidRPr="006F14E7">
              <w:rPr>
                <w:rFonts w:ascii="Times New Roman" w:hAnsi="Times New Roman"/>
                <w:b/>
                <w:bCs/>
                <w:color w:val="2F2F2F"/>
              </w:rPr>
              <w:t>Escolaridad</w:t>
            </w:r>
          </w:p>
        </w:tc>
        <w:tc>
          <w:tcPr>
            <w:tcW w:w="2659" w:type="dxa"/>
            <w:tcBorders>
              <w:top w:val="single" w:sz="4" w:space="0" w:color="auto"/>
            </w:tcBorders>
            <w:hideMark/>
          </w:tcPr>
          <w:p w14:paraId="1FC2D7BB" w14:textId="77777777" w:rsidR="006B38C9" w:rsidRPr="006F14E7" w:rsidRDefault="006B38C9" w:rsidP="009E3B50">
            <w:pPr>
              <w:autoSpaceDE w:val="0"/>
              <w:autoSpaceDN w:val="0"/>
              <w:adjustRightInd w:val="0"/>
              <w:jc w:val="center"/>
              <w:rPr>
                <w:rFonts w:ascii="Times New Roman" w:hAnsi="Times New Roman"/>
                <w:b/>
                <w:bCs/>
                <w:color w:val="2F2F2F"/>
              </w:rPr>
            </w:pPr>
            <w:r w:rsidRPr="006F14E7">
              <w:rPr>
                <w:rFonts w:ascii="Times New Roman" w:hAnsi="Times New Roman"/>
                <w:b/>
                <w:bCs/>
                <w:color w:val="2F2F2F"/>
              </w:rPr>
              <w:t>Salario mínimo</w:t>
            </w:r>
          </w:p>
        </w:tc>
      </w:tr>
      <w:tr w:rsidR="006B38C9" w:rsidRPr="006F14E7" w14:paraId="098FA74C" w14:textId="77777777" w:rsidTr="004B1E49">
        <w:trPr>
          <w:trHeight w:val="407"/>
          <w:jc w:val="center"/>
        </w:trPr>
        <w:tc>
          <w:tcPr>
            <w:tcW w:w="2283" w:type="dxa"/>
            <w:hideMark/>
          </w:tcPr>
          <w:p w14:paraId="397D6A81"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Primaria</w:t>
            </w:r>
          </w:p>
        </w:tc>
        <w:tc>
          <w:tcPr>
            <w:tcW w:w="2659" w:type="dxa"/>
            <w:hideMark/>
          </w:tcPr>
          <w:p w14:paraId="1B6B9714"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3.91</w:t>
            </w:r>
          </w:p>
        </w:tc>
      </w:tr>
      <w:tr w:rsidR="006B38C9" w:rsidRPr="006F14E7" w14:paraId="4CF84574" w14:textId="77777777" w:rsidTr="004B1E49">
        <w:trPr>
          <w:trHeight w:val="461"/>
          <w:jc w:val="center"/>
        </w:trPr>
        <w:tc>
          <w:tcPr>
            <w:tcW w:w="2283" w:type="dxa"/>
            <w:hideMark/>
          </w:tcPr>
          <w:p w14:paraId="6711B798"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Secundaria</w:t>
            </w:r>
          </w:p>
        </w:tc>
        <w:tc>
          <w:tcPr>
            <w:tcW w:w="2659" w:type="dxa"/>
            <w:hideMark/>
          </w:tcPr>
          <w:p w14:paraId="2DBD29C5"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2.79</w:t>
            </w:r>
          </w:p>
        </w:tc>
      </w:tr>
      <w:tr w:rsidR="006B38C9" w:rsidRPr="006F14E7" w14:paraId="3C5C348C" w14:textId="77777777" w:rsidTr="004B1E49">
        <w:trPr>
          <w:trHeight w:val="314"/>
          <w:jc w:val="center"/>
        </w:trPr>
        <w:tc>
          <w:tcPr>
            <w:tcW w:w="2283" w:type="dxa"/>
            <w:hideMark/>
          </w:tcPr>
          <w:p w14:paraId="6B8D59A4"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Preparatoria</w:t>
            </w:r>
          </w:p>
        </w:tc>
        <w:tc>
          <w:tcPr>
            <w:tcW w:w="2659" w:type="dxa"/>
            <w:hideMark/>
          </w:tcPr>
          <w:p w14:paraId="28B4D500"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4.94</w:t>
            </w:r>
          </w:p>
        </w:tc>
      </w:tr>
      <w:tr w:rsidR="006B38C9" w:rsidRPr="006F14E7" w14:paraId="101D08C5" w14:textId="77777777" w:rsidTr="004B1E49">
        <w:trPr>
          <w:trHeight w:val="366"/>
          <w:jc w:val="center"/>
        </w:trPr>
        <w:tc>
          <w:tcPr>
            <w:tcW w:w="2283" w:type="dxa"/>
            <w:hideMark/>
          </w:tcPr>
          <w:p w14:paraId="3858A6A4"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Universidad</w:t>
            </w:r>
          </w:p>
        </w:tc>
        <w:tc>
          <w:tcPr>
            <w:tcW w:w="2659" w:type="dxa"/>
            <w:hideMark/>
          </w:tcPr>
          <w:p w14:paraId="3BFDBBDE"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5.92</w:t>
            </w:r>
          </w:p>
        </w:tc>
      </w:tr>
      <w:tr w:rsidR="006B38C9" w:rsidRPr="006F14E7" w14:paraId="03876A45" w14:textId="77777777" w:rsidTr="004B1E49">
        <w:trPr>
          <w:trHeight w:val="396"/>
          <w:jc w:val="center"/>
        </w:trPr>
        <w:tc>
          <w:tcPr>
            <w:tcW w:w="2283" w:type="dxa"/>
            <w:tcBorders>
              <w:bottom w:val="single" w:sz="4" w:space="0" w:color="auto"/>
            </w:tcBorders>
            <w:hideMark/>
          </w:tcPr>
          <w:p w14:paraId="44E62E3B"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Posgrado</w:t>
            </w:r>
          </w:p>
        </w:tc>
        <w:tc>
          <w:tcPr>
            <w:tcW w:w="2659" w:type="dxa"/>
            <w:tcBorders>
              <w:bottom w:val="single" w:sz="4" w:space="0" w:color="auto"/>
            </w:tcBorders>
            <w:hideMark/>
          </w:tcPr>
          <w:p w14:paraId="4D885DE8" w14:textId="77777777" w:rsidR="006B38C9" w:rsidRPr="006F14E7" w:rsidRDefault="006B38C9" w:rsidP="009E3B50">
            <w:pPr>
              <w:autoSpaceDE w:val="0"/>
              <w:autoSpaceDN w:val="0"/>
              <w:adjustRightInd w:val="0"/>
              <w:jc w:val="center"/>
              <w:rPr>
                <w:rFonts w:ascii="Times New Roman" w:hAnsi="Times New Roman"/>
                <w:color w:val="000000" w:themeColor="text1"/>
              </w:rPr>
            </w:pPr>
            <w:r w:rsidRPr="006F14E7">
              <w:rPr>
                <w:rFonts w:ascii="Times New Roman" w:hAnsi="Times New Roman"/>
                <w:color w:val="000000" w:themeColor="text1"/>
              </w:rPr>
              <w:t>12.66</w:t>
            </w:r>
          </w:p>
        </w:tc>
      </w:tr>
    </w:tbl>
    <w:p w14:paraId="5227CE6E" w14:textId="2360D2DB" w:rsidR="00524EAE" w:rsidRPr="006F14E7" w:rsidRDefault="006B38C9" w:rsidP="009E3B50">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F14E7">
        <w:rPr>
          <w:rFonts w:ascii="Times New Roman" w:eastAsia="Times New Roman" w:hAnsi="Times New Roman" w:cs="Times New Roman"/>
          <w:color w:val="000000" w:themeColor="text1"/>
          <w:sz w:val="24"/>
          <w:szCs w:val="24"/>
        </w:rPr>
        <w:t xml:space="preserve">                                   </w:t>
      </w:r>
      <w:r w:rsidRPr="006F14E7">
        <w:rPr>
          <w:rFonts w:ascii="Times New Roman" w:eastAsia="Times New Roman" w:hAnsi="Times New Roman" w:cs="Times New Roman"/>
          <w:b/>
          <w:bCs/>
          <w:color w:val="000000" w:themeColor="text1"/>
          <w:sz w:val="24"/>
          <w:szCs w:val="24"/>
        </w:rPr>
        <w:t xml:space="preserve"> Fuente</w:t>
      </w:r>
      <w:r w:rsidRPr="006F14E7">
        <w:rPr>
          <w:rFonts w:ascii="Times New Roman" w:eastAsia="Times New Roman" w:hAnsi="Times New Roman" w:cs="Times New Roman"/>
          <w:color w:val="000000" w:themeColor="text1"/>
          <w:sz w:val="24"/>
          <w:szCs w:val="24"/>
        </w:rPr>
        <w:t xml:space="preserve">: </w:t>
      </w:r>
      <w:r w:rsidR="00B0243D" w:rsidRPr="006F14E7">
        <w:rPr>
          <w:rFonts w:ascii="Times New Roman" w:eastAsia="Times New Roman" w:hAnsi="Times New Roman" w:cs="Times New Roman"/>
          <w:color w:val="000000" w:themeColor="text1"/>
          <w:sz w:val="24"/>
          <w:szCs w:val="24"/>
        </w:rPr>
        <w:t>(</w:t>
      </w:r>
      <w:r w:rsidRPr="006F14E7">
        <w:rPr>
          <w:rFonts w:ascii="Times New Roman" w:eastAsia="Times New Roman" w:hAnsi="Times New Roman" w:cs="Times New Roman"/>
          <w:color w:val="000000" w:themeColor="text1"/>
          <w:sz w:val="24"/>
          <w:szCs w:val="24"/>
        </w:rPr>
        <w:t>Almodóvar, 2005a:415</w:t>
      </w:r>
      <w:r w:rsidR="00B0243D" w:rsidRPr="006F14E7">
        <w:rPr>
          <w:rFonts w:ascii="Times New Roman" w:eastAsia="Times New Roman" w:hAnsi="Times New Roman" w:cs="Times New Roman"/>
          <w:color w:val="000000" w:themeColor="text1"/>
          <w:sz w:val="24"/>
          <w:szCs w:val="24"/>
        </w:rPr>
        <w:t>)</w:t>
      </w:r>
    </w:p>
    <w:p w14:paraId="5485D1CE" w14:textId="77777777" w:rsidR="00950495" w:rsidRPr="006F14E7" w:rsidRDefault="00950495" w:rsidP="009E3B5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597BB323" w14:textId="22F534B4" w:rsidR="006B38C9" w:rsidRPr="006F14E7" w:rsidRDefault="006B38C9" w:rsidP="009E3B50">
      <w:pPr>
        <w:pStyle w:val="Texto0"/>
        <w:spacing w:after="0" w:line="240" w:lineRule="auto"/>
        <w:ind w:firstLine="0"/>
        <w:rPr>
          <w:rFonts w:ascii="Times New Roman" w:hAnsi="Times New Roman" w:cs="Times New Roman"/>
          <w:sz w:val="24"/>
          <w:szCs w:val="24"/>
          <w:vertAlign w:val="superscript"/>
        </w:rPr>
      </w:pPr>
      <w:r w:rsidRPr="006F14E7">
        <w:rPr>
          <w:rFonts w:ascii="Times New Roman" w:hAnsi="Times New Roman" w:cs="Times New Roman"/>
          <w:sz w:val="24"/>
          <w:szCs w:val="24"/>
        </w:rPr>
        <w:t xml:space="preserve">Para 2007 los años de escolaridad promedio de las personas entre 15 y 24 años fue de </w:t>
      </w:r>
      <w:proofErr w:type="gramStart"/>
      <w:r w:rsidRPr="006F14E7">
        <w:rPr>
          <w:rFonts w:ascii="Times New Roman" w:hAnsi="Times New Roman" w:cs="Times New Roman"/>
          <w:sz w:val="24"/>
          <w:szCs w:val="24"/>
        </w:rPr>
        <w:t>9.7</w:t>
      </w:r>
      <w:r w:rsidRPr="006F14E7">
        <w:rPr>
          <w:rFonts w:ascii="Times New Roman" w:hAnsi="Times New Roman" w:cs="Times New Roman"/>
          <w:sz w:val="24"/>
          <w:szCs w:val="24"/>
          <w:vertAlign w:val="superscript"/>
        </w:rPr>
        <w:t>(</w:t>
      </w:r>
      <w:proofErr w:type="gramEnd"/>
      <w:r w:rsidR="00474774" w:rsidRPr="006F14E7">
        <w:rPr>
          <w:rFonts w:ascii="Times New Roman" w:hAnsi="Times New Roman" w:cs="Times New Roman"/>
          <w:sz w:val="24"/>
          <w:szCs w:val="24"/>
          <w:vertAlign w:val="superscript"/>
        </w:rPr>
        <w:t>15</w:t>
      </w:r>
      <w:r w:rsidRPr="006F14E7">
        <w:rPr>
          <w:rFonts w:ascii="Times New Roman" w:hAnsi="Times New Roman" w:cs="Times New Roman"/>
          <w:sz w:val="24"/>
          <w:szCs w:val="24"/>
          <w:vertAlign w:val="superscript"/>
        </w:rPr>
        <w:t>)</w:t>
      </w:r>
      <w:r w:rsidR="00F97456" w:rsidRPr="006F14E7">
        <w:rPr>
          <w:rFonts w:ascii="Times New Roman" w:hAnsi="Times New Roman" w:cs="Times New Roman"/>
          <w:sz w:val="24"/>
          <w:szCs w:val="24"/>
        </w:rPr>
        <w:t xml:space="preserve">, pese a que </w:t>
      </w:r>
      <w:r w:rsidR="009B62D3" w:rsidRPr="006F14E7">
        <w:rPr>
          <w:rFonts w:ascii="Times New Roman" w:hAnsi="Times New Roman" w:cs="Times New Roman"/>
          <w:sz w:val="24"/>
          <w:szCs w:val="24"/>
        </w:rPr>
        <w:t xml:space="preserve">el </w:t>
      </w:r>
      <w:r w:rsidR="00B00256" w:rsidRPr="006F14E7">
        <w:rPr>
          <w:rFonts w:ascii="Times New Roman" w:hAnsi="Times New Roman" w:cs="Times New Roman"/>
          <w:sz w:val="24"/>
          <w:szCs w:val="24"/>
        </w:rPr>
        <w:t>rezago y</w:t>
      </w:r>
      <w:r w:rsidR="00F97456" w:rsidRPr="006F14E7">
        <w:rPr>
          <w:rFonts w:ascii="Times New Roman" w:hAnsi="Times New Roman" w:cs="Times New Roman"/>
          <w:sz w:val="24"/>
          <w:szCs w:val="24"/>
        </w:rPr>
        <w:t xml:space="preserve"> la</w:t>
      </w:r>
      <w:r w:rsidR="009B62D3" w:rsidRPr="006F14E7">
        <w:rPr>
          <w:rFonts w:ascii="Times New Roman" w:hAnsi="Times New Roman" w:cs="Times New Roman"/>
          <w:sz w:val="24"/>
          <w:szCs w:val="24"/>
        </w:rPr>
        <w:t xml:space="preserve"> deserción educativa </w:t>
      </w:r>
      <w:r w:rsidR="003506DB" w:rsidRPr="006F14E7">
        <w:rPr>
          <w:rFonts w:ascii="Times New Roman" w:hAnsi="Times New Roman" w:cs="Times New Roman"/>
          <w:sz w:val="24"/>
          <w:szCs w:val="24"/>
        </w:rPr>
        <w:t>se encontró</w:t>
      </w:r>
      <w:r w:rsidR="00F97456" w:rsidRPr="006F14E7">
        <w:rPr>
          <w:rFonts w:ascii="Times New Roman" w:hAnsi="Times New Roman" w:cs="Times New Roman"/>
          <w:sz w:val="24"/>
          <w:szCs w:val="24"/>
        </w:rPr>
        <w:t xml:space="preserve"> ampliamente</w:t>
      </w:r>
      <w:r w:rsidR="009B62D3" w:rsidRPr="006F14E7">
        <w:rPr>
          <w:rFonts w:ascii="Times New Roman" w:hAnsi="Times New Roman" w:cs="Times New Roman"/>
          <w:sz w:val="24"/>
          <w:szCs w:val="24"/>
        </w:rPr>
        <w:t xml:space="preserve"> </w:t>
      </w:r>
      <w:r w:rsidR="00F97456" w:rsidRPr="006F14E7">
        <w:rPr>
          <w:rFonts w:ascii="Times New Roman" w:hAnsi="Times New Roman" w:cs="Times New Roman"/>
          <w:sz w:val="24"/>
          <w:szCs w:val="24"/>
        </w:rPr>
        <w:t>vinculada la</w:t>
      </w:r>
      <w:r w:rsidR="009B62D3" w:rsidRPr="006F14E7">
        <w:rPr>
          <w:rFonts w:ascii="Times New Roman" w:hAnsi="Times New Roman" w:cs="Times New Roman"/>
          <w:sz w:val="24"/>
          <w:szCs w:val="24"/>
        </w:rPr>
        <w:t xml:space="preserve"> </w:t>
      </w:r>
      <w:r w:rsidR="00F97456" w:rsidRPr="006F14E7">
        <w:rPr>
          <w:rFonts w:ascii="Times New Roman" w:hAnsi="Times New Roman" w:cs="Times New Roman"/>
          <w:sz w:val="24"/>
          <w:szCs w:val="24"/>
        </w:rPr>
        <w:t>necesidad de trabajar en el 42% de los casos</w:t>
      </w:r>
      <w:r w:rsidR="009B62D3" w:rsidRPr="006F14E7">
        <w:rPr>
          <w:rFonts w:ascii="Times New Roman" w:hAnsi="Times New Roman" w:cs="Times New Roman"/>
          <w:sz w:val="24"/>
          <w:szCs w:val="24"/>
        </w:rPr>
        <w:t xml:space="preserve">, </w:t>
      </w:r>
      <w:r w:rsidR="003D2C18" w:rsidRPr="006F14E7">
        <w:rPr>
          <w:rFonts w:ascii="Times New Roman" w:hAnsi="Times New Roman" w:cs="Times New Roman"/>
          <w:sz w:val="24"/>
          <w:szCs w:val="24"/>
        </w:rPr>
        <w:t xml:space="preserve">incluso a edades muy </w:t>
      </w:r>
      <w:r w:rsidR="00524EAE" w:rsidRPr="006F14E7">
        <w:rPr>
          <w:rFonts w:ascii="Times New Roman" w:hAnsi="Times New Roman" w:cs="Times New Roman"/>
          <w:sz w:val="24"/>
          <w:szCs w:val="24"/>
        </w:rPr>
        <w:t>tempranas</w:t>
      </w:r>
      <w:r w:rsidR="003D2C18" w:rsidRPr="006F14E7">
        <w:rPr>
          <w:rFonts w:ascii="Times New Roman" w:hAnsi="Times New Roman" w:cs="Times New Roman"/>
          <w:sz w:val="24"/>
          <w:szCs w:val="24"/>
        </w:rPr>
        <w:t>;</w:t>
      </w:r>
      <w:r w:rsidR="00524EAE" w:rsidRPr="006F14E7">
        <w:rPr>
          <w:rFonts w:ascii="Times New Roman" w:hAnsi="Times New Roman" w:cs="Times New Roman"/>
          <w:sz w:val="24"/>
          <w:szCs w:val="24"/>
        </w:rPr>
        <w:t xml:space="preserve"> el 21.8% de los estudiantes de 12 a 14 años,  el 37.5% </w:t>
      </w:r>
      <w:r w:rsidR="003D2C18" w:rsidRPr="006F14E7">
        <w:rPr>
          <w:rFonts w:ascii="Times New Roman" w:hAnsi="Times New Roman" w:cs="Times New Roman"/>
          <w:sz w:val="24"/>
          <w:szCs w:val="24"/>
        </w:rPr>
        <w:t xml:space="preserve">de </w:t>
      </w:r>
      <w:r w:rsidR="00F97456" w:rsidRPr="006F14E7">
        <w:rPr>
          <w:rFonts w:ascii="Times New Roman" w:hAnsi="Times New Roman" w:cs="Times New Roman"/>
          <w:sz w:val="24"/>
          <w:szCs w:val="24"/>
        </w:rPr>
        <w:t>estudiantes</w:t>
      </w:r>
      <w:r w:rsidR="00524EAE" w:rsidRPr="006F14E7">
        <w:rPr>
          <w:rFonts w:ascii="Times New Roman" w:hAnsi="Times New Roman" w:cs="Times New Roman"/>
          <w:sz w:val="24"/>
          <w:szCs w:val="24"/>
        </w:rPr>
        <w:t xml:space="preserve"> entre 15 y 17 </w:t>
      </w:r>
      <w:r w:rsidR="003D2C18" w:rsidRPr="006F14E7">
        <w:rPr>
          <w:rFonts w:ascii="Times New Roman" w:hAnsi="Times New Roman" w:cs="Times New Roman"/>
          <w:sz w:val="24"/>
          <w:szCs w:val="24"/>
        </w:rPr>
        <w:t xml:space="preserve">años, </w:t>
      </w:r>
      <w:r w:rsidR="00524EAE" w:rsidRPr="006F14E7">
        <w:rPr>
          <w:rFonts w:ascii="Times New Roman" w:hAnsi="Times New Roman" w:cs="Times New Roman"/>
          <w:sz w:val="24"/>
          <w:szCs w:val="24"/>
        </w:rPr>
        <w:t xml:space="preserve">y el 25% de </w:t>
      </w:r>
      <w:r w:rsidR="00F97456" w:rsidRPr="006F14E7">
        <w:rPr>
          <w:rFonts w:ascii="Times New Roman" w:hAnsi="Times New Roman" w:cs="Times New Roman"/>
          <w:sz w:val="24"/>
          <w:szCs w:val="24"/>
        </w:rPr>
        <w:t>estudiantes</w:t>
      </w:r>
      <w:r w:rsidR="00524EAE" w:rsidRPr="006F14E7">
        <w:rPr>
          <w:rFonts w:ascii="Times New Roman" w:hAnsi="Times New Roman" w:cs="Times New Roman"/>
          <w:sz w:val="24"/>
          <w:szCs w:val="24"/>
        </w:rPr>
        <w:t xml:space="preserve"> entre 18 y 20 año</w:t>
      </w:r>
      <w:r w:rsidR="00F97456" w:rsidRPr="006F14E7">
        <w:rPr>
          <w:rFonts w:ascii="Times New Roman" w:hAnsi="Times New Roman" w:cs="Times New Roman"/>
          <w:sz w:val="24"/>
          <w:szCs w:val="24"/>
        </w:rPr>
        <w:t>s</w:t>
      </w:r>
      <w:r w:rsidR="00F97456" w:rsidRPr="006F14E7">
        <w:rPr>
          <w:rFonts w:ascii="Times New Roman" w:hAnsi="Times New Roman" w:cs="Times New Roman"/>
          <w:sz w:val="24"/>
          <w:szCs w:val="24"/>
          <w:vertAlign w:val="superscript"/>
        </w:rPr>
        <w:t xml:space="preserve"> </w:t>
      </w:r>
      <w:r w:rsidR="003D2C18" w:rsidRPr="006F14E7">
        <w:rPr>
          <w:rFonts w:ascii="Times New Roman" w:hAnsi="Times New Roman" w:cs="Times New Roman"/>
          <w:sz w:val="24"/>
          <w:szCs w:val="24"/>
          <w:vertAlign w:val="superscript"/>
        </w:rPr>
        <w:t>(</w:t>
      </w:r>
      <w:r w:rsidR="00474774" w:rsidRPr="006F14E7">
        <w:rPr>
          <w:rFonts w:ascii="Times New Roman" w:hAnsi="Times New Roman" w:cs="Times New Roman"/>
          <w:sz w:val="24"/>
          <w:szCs w:val="24"/>
          <w:vertAlign w:val="superscript"/>
        </w:rPr>
        <w:t>16</w:t>
      </w:r>
      <w:r w:rsidR="003D2C18" w:rsidRPr="006F14E7">
        <w:rPr>
          <w:rFonts w:ascii="Times New Roman" w:hAnsi="Times New Roman" w:cs="Times New Roman"/>
          <w:sz w:val="24"/>
          <w:szCs w:val="24"/>
          <w:vertAlign w:val="superscript"/>
        </w:rPr>
        <w:t>).</w:t>
      </w:r>
      <w:r w:rsidR="00F97456" w:rsidRPr="006F14E7">
        <w:rPr>
          <w:rFonts w:ascii="Times New Roman" w:hAnsi="Times New Roman" w:cs="Times New Roman"/>
          <w:sz w:val="24"/>
          <w:szCs w:val="24"/>
          <w:vertAlign w:val="superscript"/>
        </w:rPr>
        <w:t xml:space="preserve"> </w:t>
      </w:r>
      <w:r w:rsidRPr="006F14E7">
        <w:rPr>
          <w:rFonts w:ascii="Times New Roman" w:hAnsi="Times New Roman" w:cs="Times New Roman"/>
          <w:sz w:val="24"/>
          <w:szCs w:val="24"/>
        </w:rPr>
        <w:t xml:space="preserve">Por otro lado, en el año 2012 </w:t>
      </w:r>
      <w:r w:rsidR="00FE75F9" w:rsidRPr="006F14E7">
        <w:rPr>
          <w:rFonts w:ascii="Times New Roman" w:hAnsi="Times New Roman" w:cs="Times New Roman"/>
          <w:sz w:val="24"/>
          <w:szCs w:val="24"/>
        </w:rPr>
        <w:t xml:space="preserve">la </w:t>
      </w:r>
      <w:r w:rsidRPr="006F14E7">
        <w:rPr>
          <w:rFonts w:ascii="Times New Roman" w:hAnsi="Times New Roman" w:cs="Times New Roman"/>
          <w:sz w:val="24"/>
          <w:szCs w:val="24"/>
        </w:rPr>
        <w:t xml:space="preserve">eficiencia terminal de cada 100 niños que ingresaron primaria, solo el 76% continuaron y concluyeron la </w:t>
      </w:r>
      <w:proofErr w:type="gramStart"/>
      <w:r w:rsidRPr="006F14E7">
        <w:rPr>
          <w:rFonts w:ascii="Times New Roman" w:hAnsi="Times New Roman" w:cs="Times New Roman"/>
          <w:sz w:val="24"/>
          <w:szCs w:val="24"/>
        </w:rPr>
        <w:t>secundaria</w:t>
      </w:r>
      <w:r w:rsidRPr="006F14E7">
        <w:rPr>
          <w:rFonts w:ascii="Times New Roman" w:hAnsi="Times New Roman" w:cs="Times New Roman"/>
          <w:sz w:val="24"/>
          <w:szCs w:val="24"/>
          <w:vertAlign w:val="superscript"/>
        </w:rPr>
        <w:t>(</w:t>
      </w:r>
      <w:proofErr w:type="gramEnd"/>
      <w:r w:rsidR="00474774" w:rsidRPr="006F14E7">
        <w:rPr>
          <w:rFonts w:ascii="Times New Roman" w:hAnsi="Times New Roman" w:cs="Times New Roman"/>
          <w:sz w:val="24"/>
          <w:szCs w:val="24"/>
          <w:vertAlign w:val="superscript"/>
        </w:rPr>
        <w:t>17</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r w:rsidR="00B00256" w:rsidRPr="006F14E7">
        <w:rPr>
          <w:rFonts w:ascii="Times New Roman" w:hAnsi="Times New Roman" w:cs="Times New Roman"/>
          <w:sz w:val="24"/>
          <w:szCs w:val="24"/>
        </w:rPr>
        <w:t xml:space="preserve"> </w:t>
      </w:r>
      <w:r w:rsidRPr="006F14E7">
        <w:rPr>
          <w:rFonts w:ascii="Times New Roman" w:hAnsi="Times New Roman" w:cs="Times New Roman"/>
          <w:sz w:val="24"/>
          <w:szCs w:val="24"/>
        </w:rPr>
        <w:t>En cuanto a nivel medio superior, la cobertura fue del 66.3%, mientras que la matrícula universitaria no superó los 3.3 millones de alumnos, equivalente al 29.2</w:t>
      </w:r>
      <w:r w:rsidR="00F97456" w:rsidRPr="006F14E7">
        <w:rPr>
          <w:rFonts w:ascii="Times New Roman" w:hAnsi="Times New Roman" w:cs="Times New Roman"/>
          <w:sz w:val="24"/>
          <w:szCs w:val="24"/>
        </w:rPr>
        <w:t>%</w:t>
      </w:r>
      <w:r w:rsidRPr="006F14E7">
        <w:rPr>
          <w:rFonts w:ascii="Times New Roman" w:hAnsi="Times New Roman" w:cs="Times New Roman"/>
          <w:sz w:val="24"/>
          <w:szCs w:val="24"/>
        </w:rPr>
        <w:t xml:space="preserve"> de cobertura</w:t>
      </w:r>
      <w:r w:rsidR="00F97456" w:rsidRPr="006F14E7">
        <w:rPr>
          <w:rFonts w:ascii="Times New Roman" w:hAnsi="Times New Roman" w:cs="Times New Roman"/>
          <w:sz w:val="24"/>
          <w:szCs w:val="24"/>
        </w:rPr>
        <w:t>, situación que</w:t>
      </w:r>
      <w:r w:rsidRPr="006F14E7">
        <w:rPr>
          <w:rFonts w:ascii="Times New Roman" w:hAnsi="Times New Roman" w:cs="Times New Roman"/>
          <w:sz w:val="24"/>
          <w:szCs w:val="24"/>
        </w:rPr>
        <w:t xml:space="preserve"> limit</w:t>
      </w:r>
      <w:r w:rsidR="00F97456" w:rsidRPr="006F14E7">
        <w:rPr>
          <w:rFonts w:ascii="Times New Roman" w:hAnsi="Times New Roman" w:cs="Times New Roman"/>
          <w:sz w:val="24"/>
          <w:szCs w:val="24"/>
        </w:rPr>
        <w:t>o</w:t>
      </w:r>
      <w:r w:rsidRPr="006F14E7">
        <w:rPr>
          <w:rFonts w:ascii="Times New Roman" w:hAnsi="Times New Roman" w:cs="Times New Roman"/>
          <w:sz w:val="24"/>
          <w:szCs w:val="24"/>
        </w:rPr>
        <w:t xml:space="preserve"> </w:t>
      </w:r>
      <w:r w:rsidR="00F97456" w:rsidRPr="006F14E7">
        <w:rPr>
          <w:rFonts w:ascii="Times New Roman" w:hAnsi="Times New Roman" w:cs="Times New Roman"/>
          <w:sz w:val="24"/>
          <w:szCs w:val="24"/>
        </w:rPr>
        <w:t>la</w:t>
      </w:r>
      <w:r w:rsidRPr="006F14E7">
        <w:rPr>
          <w:rFonts w:ascii="Times New Roman" w:hAnsi="Times New Roman" w:cs="Times New Roman"/>
          <w:sz w:val="24"/>
          <w:szCs w:val="24"/>
        </w:rPr>
        <w:t xml:space="preserve"> posibilidad de acceder a mejores oportunidades </w:t>
      </w:r>
      <w:proofErr w:type="gramStart"/>
      <w:r w:rsidRPr="006F14E7">
        <w:rPr>
          <w:rFonts w:ascii="Times New Roman" w:hAnsi="Times New Roman" w:cs="Times New Roman"/>
          <w:sz w:val="24"/>
          <w:szCs w:val="24"/>
        </w:rPr>
        <w:t>laborales</w:t>
      </w:r>
      <w:r w:rsidRPr="006F14E7">
        <w:rPr>
          <w:rFonts w:ascii="Times New Roman" w:hAnsi="Times New Roman" w:cs="Times New Roman"/>
          <w:sz w:val="24"/>
          <w:szCs w:val="24"/>
          <w:vertAlign w:val="superscript"/>
        </w:rPr>
        <w:t>(</w:t>
      </w:r>
      <w:proofErr w:type="gramEnd"/>
      <w:r w:rsidR="00474774" w:rsidRPr="006F14E7">
        <w:rPr>
          <w:rFonts w:ascii="Times New Roman" w:hAnsi="Times New Roman" w:cs="Times New Roman"/>
          <w:sz w:val="24"/>
          <w:szCs w:val="24"/>
          <w:vertAlign w:val="superscript"/>
        </w:rPr>
        <w:t>17</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79942219" w14:textId="6A0A8614" w:rsidR="006B38C9" w:rsidRPr="006F14E7" w:rsidRDefault="006B38C9" w:rsidP="009E3B50">
      <w:pPr>
        <w:spacing w:after="0" w:line="240" w:lineRule="auto"/>
        <w:jc w:val="both"/>
        <w:rPr>
          <w:rFonts w:ascii="Times New Roman" w:hAnsi="Times New Roman" w:cs="Times New Roman"/>
          <w:sz w:val="24"/>
          <w:szCs w:val="24"/>
        </w:rPr>
      </w:pPr>
    </w:p>
    <w:p w14:paraId="30C694BE" w14:textId="77777777" w:rsidR="001F09EE" w:rsidRPr="006F14E7" w:rsidRDefault="001F09EE" w:rsidP="009E3B50">
      <w:pPr>
        <w:spacing w:after="0" w:line="240" w:lineRule="auto"/>
        <w:jc w:val="both"/>
        <w:rPr>
          <w:rFonts w:ascii="Times New Roman" w:hAnsi="Times New Roman" w:cs="Times New Roman"/>
          <w:sz w:val="24"/>
          <w:szCs w:val="24"/>
        </w:rPr>
      </w:pPr>
    </w:p>
    <w:p w14:paraId="42ED17DC" w14:textId="77777777" w:rsidR="006B38C9" w:rsidRPr="006F14E7" w:rsidRDefault="006B38C9" w:rsidP="00A85EB1">
      <w:pPr>
        <w:pStyle w:val="texto"/>
        <w:spacing w:after="0" w:line="240" w:lineRule="auto"/>
        <w:ind w:firstLine="0"/>
        <w:jc w:val="center"/>
        <w:rPr>
          <w:rFonts w:ascii="Times New Roman" w:eastAsiaTheme="minorHAnsi" w:hAnsi="Times New Roman" w:cs="Times New Roman"/>
          <w:i/>
          <w:iCs/>
          <w:sz w:val="24"/>
          <w:szCs w:val="24"/>
          <w:lang w:val="es-MX" w:eastAsia="en-US"/>
        </w:rPr>
      </w:pPr>
      <w:r w:rsidRPr="006F14E7">
        <w:rPr>
          <w:rFonts w:ascii="Times New Roman" w:hAnsi="Times New Roman" w:cs="Times New Roman"/>
          <w:noProof/>
          <w:sz w:val="24"/>
          <w:szCs w:val="24"/>
          <w:lang w:val="es-CL" w:eastAsia="es-CL"/>
        </w:rPr>
        <w:drawing>
          <wp:inline distT="0" distB="0" distL="0" distR="0" wp14:anchorId="6050A1C3" wp14:editId="50E408E2">
            <wp:extent cx="5108028" cy="1922780"/>
            <wp:effectExtent l="0" t="0" r="16510" b="1270"/>
            <wp:docPr id="24" name="Gráfico 2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C8288D8-E41F-415B-8CA8-431FA2B17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939A7" w14:textId="77777777" w:rsidR="006B38C9" w:rsidRPr="006F14E7" w:rsidRDefault="006B38C9" w:rsidP="009E3B50">
      <w:pPr>
        <w:pStyle w:val="texto"/>
        <w:spacing w:after="0" w:line="240" w:lineRule="auto"/>
        <w:ind w:firstLine="0"/>
        <w:rPr>
          <w:rFonts w:ascii="Times New Roman" w:eastAsiaTheme="minorHAnsi" w:hAnsi="Times New Roman" w:cs="Times New Roman"/>
          <w:sz w:val="22"/>
          <w:szCs w:val="22"/>
          <w:lang w:val="es-MX" w:eastAsia="en-US"/>
        </w:rPr>
      </w:pPr>
      <w:r w:rsidRPr="006F14E7">
        <w:rPr>
          <w:rFonts w:ascii="Times New Roman" w:eastAsiaTheme="minorHAnsi" w:hAnsi="Times New Roman" w:cs="Times New Roman"/>
          <w:b/>
          <w:bCs/>
          <w:sz w:val="22"/>
          <w:szCs w:val="22"/>
          <w:lang w:val="es-MX" w:eastAsia="en-US"/>
        </w:rPr>
        <w:t>Fuentes:</w:t>
      </w:r>
      <w:bookmarkStart w:id="5" w:name="_Hlk52145552"/>
      <w:r w:rsidRPr="006F14E7">
        <w:rPr>
          <w:rFonts w:ascii="Times New Roman" w:eastAsiaTheme="minorHAnsi" w:hAnsi="Times New Roman" w:cs="Times New Roman"/>
          <w:sz w:val="22"/>
          <w:szCs w:val="22"/>
          <w:lang w:val="es-MX" w:eastAsia="en-US"/>
        </w:rPr>
        <w:t xml:space="preserve"> </w:t>
      </w:r>
      <w:bookmarkStart w:id="6" w:name="_Hlk55494711"/>
      <w:r w:rsidRPr="006F14E7">
        <w:rPr>
          <w:rFonts w:ascii="Times New Roman" w:eastAsiaTheme="minorHAnsi" w:hAnsi="Times New Roman" w:cs="Times New Roman"/>
          <w:sz w:val="22"/>
          <w:szCs w:val="22"/>
          <w:lang w:val="es-MX" w:eastAsia="en-US"/>
        </w:rPr>
        <w:t>DGPPEE, 2019:46</w:t>
      </w:r>
      <w:bookmarkEnd w:id="6"/>
      <w:r w:rsidRPr="006F14E7">
        <w:rPr>
          <w:rFonts w:ascii="Times New Roman" w:eastAsiaTheme="minorHAnsi" w:hAnsi="Times New Roman" w:cs="Times New Roman"/>
          <w:sz w:val="22"/>
          <w:szCs w:val="22"/>
          <w:lang w:val="es-MX" w:eastAsia="en-US"/>
        </w:rPr>
        <w:t xml:space="preserve">; </w:t>
      </w:r>
      <w:bookmarkStart w:id="7" w:name="_Hlk55494725"/>
      <w:r w:rsidRPr="006F14E7">
        <w:rPr>
          <w:rFonts w:ascii="Times New Roman" w:eastAsiaTheme="minorHAnsi" w:hAnsi="Times New Roman" w:cs="Times New Roman"/>
          <w:sz w:val="22"/>
          <w:szCs w:val="22"/>
          <w:lang w:val="es-MX" w:eastAsia="en-US"/>
        </w:rPr>
        <w:t>INEE, 2019: 12</w:t>
      </w:r>
      <w:bookmarkEnd w:id="5"/>
      <w:bookmarkEnd w:id="7"/>
      <w:r w:rsidRPr="006F14E7">
        <w:rPr>
          <w:rFonts w:ascii="Times New Roman" w:eastAsiaTheme="minorHAnsi" w:hAnsi="Times New Roman" w:cs="Times New Roman"/>
          <w:sz w:val="22"/>
          <w:szCs w:val="22"/>
          <w:lang w:val="es-MX" w:eastAsia="en-US"/>
        </w:rPr>
        <w:t>4</w:t>
      </w:r>
    </w:p>
    <w:p w14:paraId="02843CB5" w14:textId="77777777" w:rsidR="009E3B50" w:rsidRPr="006F14E7" w:rsidRDefault="009E3B50" w:rsidP="009E3B50">
      <w:pPr>
        <w:autoSpaceDE w:val="0"/>
        <w:autoSpaceDN w:val="0"/>
        <w:adjustRightInd w:val="0"/>
        <w:spacing w:after="0" w:line="240" w:lineRule="auto"/>
        <w:jc w:val="both"/>
        <w:rPr>
          <w:rFonts w:ascii="Times New Roman" w:hAnsi="Times New Roman" w:cs="Times New Roman"/>
          <w:color w:val="7030A0"/>
          <w:sz w:val="24"/>
          <w:szCs w:val="24"/>
        </w:rPr>
      </w:pPr>
    </w:p>
    <w:p w14:paraId="05E88D72" w14:textId="745DE123" w:rsidR="006B38C9"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Para el año 2016, la escolaridad a nivel nacional fue de 9.2 años, es decir, la tendencia reflejó una ganancia de 1.3 años por década desde l</w:t>
      </w:r>
      <w:r w:rsidR="00201446" w:rsidRPr="006F14E7">
        <w:rPr>
          <w:rFonts w:ascii="Times New Roman" w:hAnsi="Times New Roman" w:cs="Times New Roman"/>
          <w:sz w:val="24"/>
          <w:szCs w:val="24"/>
        </w:rPr>
        <w:t>a década de</w:t>
      </w:r>
      <w:r w:rsidR="00AB7AA6" w:rsidRPr="006F14E7">
        <w:rPr>
          <w:rFonts w:ascii="Times New Roman" w:hAnsi="Times New Roman" w:cs="Times New Roman"/>
          <w:sz w:val="24"/>
          <w:szCs w:val="24"/>
        </w:rPr>
        <w:t xml:space="preserve"> </w:t>
      </w:r>
      <w:r w:rsidR="00201446" w:rsidRPr="006F14E7">
        <w:rPr>
          <w:rFonts w:ascii="Times New Roman" w:hAnsi="Times New Roman" w:cs="Times New Roman"/>
          <w:sz w:val="24"/>
          <w:szCs w:val="24"/>
        </w:rPr>
        <w:t>19</w:t>
      </w:r>
      <w:r w:rsidRPr="006F14E7">
        <w:rPr>
          <w:rFonts w:ascii="Times New Roman" w:hAnsi="Times New Roman" w:cs="Times New Roman"/>
          <w:sz w:val="24"/>
          <w:szCs w:val="24"/>
        </w:rPr>
        <w:t xml:space="preserve">70. </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10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Sin embargo, a nivel estatal, Sonora y la Ciudad de México presentaron un nivel de escolaridad de 10 y 11.1 años respectivamente, mientras que Chiapas y Oaxaca presentaron una escolaridad de 7.6 y 7.5 años </w:t>
      </w:r>
      <w:proofErr w:type="gramStart"/>
      <w:r w:rsidRPr="006F14E7">
        <w:rPr>
          <w:rFonts w:ascii="Times New Roman" w:hAnsi="Times New Roman" w:cs="Times New Roman"/>
          <w:sz w:val="24"/>
          <w:szCs w:val="24"/>
        </w:rPr>
        <w:t>respectivamente</w:t>
      </w:r>
      <w:r w:rsidRPr="006F14E7">
        <w:rPr>
          <w:rFonts w:ascii="Times New Roman" w:hAnsi="Times New Roman" w:cs="Times New Roman"/>
          <w:sz w:val="24"/>
          <w:szCs w:val="24"/>
          <w:vertAlign w:val="superscript"/>
        </w:rPr>
        <w:t>(</w:t>
      </w:r>
      <w:proofErr w:type="gramEnd"/>
      <w:r w:rsidR="008803BB" w:rsidRPr="006F14E7">
        <w:rPr>
          <w:rFonts w:ascii="Times New Roman" w:hAnsi="Times New Roman" w:cs="Times New Roman"/>
          <w:sz w:val="24"/>
          <w:szCs w:val="24"/>
          <w:vertAlign w:val="superscript"/>
        </w:rPr>
        <w:t>10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es decir entre estos dos estados existió un atraso de 25 años, o bien, un atraso de 17 años </w:t>
      </w:r>
      <w:r w:rsidR="00A650D9" w:rsidRPr="006F14E7">
        <w:rPr>
          <w:rFonts w:ascii="Times New Roman" w:hAnsi="Times New Roman" w:cs="Times New Roman"/>
          <w:sz w:val="24"/>
          <w:szCs w:val="24"/>
        </w:rPr>
        <w:t xml:space="preserve">en </w:t>
      </w:r>
      <w:r w:rsidRPr="006F14E7">
        <w:rPr>
          <w:rFonts w:ascii="Times New Roman" w:hAnsi="Times New Roman" w:cs="Times New Roman"/>
          <w:sz w:val="24"/>
          <w:szCs w:val="24"/>
        </w:rPr>
        <w:t>compar</w:t>
      </w:r>
      <w:r w:rsidR="00A650D9" w:rsidRPr="006F14E7">
        <w:rPr>
          <w:rFonts w:ascii="Times New Roman" w:hAnsi="Times New Roman" w:cs="Times New Roman"/>
          <w:sz w:val="24"/>
          <w:szCs w:val="24"/>
        </w:rPr>
        <w:t>ación</w:t>
      </w:r>
      <w:r w:rsidRPr="006F14E7">
        <w:rPr>
          <w:rFonts w:ascii="Times New Roman" w:hAnsi="Times New Roman" w:cs="Times New Roman"/>
          <w:sz w:val="24"/>
          <w:szCs w:val="24"/>
        </w:rPr>
        <w:t xml:space="preserve"> con la media nacional de escolaridad del año 2000, que fue de 7.5 años</w:t>
      </w:r>
      <w:r w:rsidR="00181EC4" w:rsidRPr="006F14E7">
        <w:rPr>
          <w:rFonts w:ascii="Times New Roman" w:hAnsi="Times New Roman" w:cs="Times New Roman"/>
          <w:sz w:val="24"/>
          <w:szCs w:val="24"/>
          <w:vertAlign w:val="superscript"/>
        </w:rPr>
        <w:t>(28)</w:t>
      </w:r>
      <w:r w:rsidRPr="006F14E7">
        <w:rPr>
          <w:rFonts w:ascii="Times New Roman" w:hAnsi="Times New Roman" w:cs="Times New Roman"/>
          <w:sz w:val="24"/>
          <w:szCs w:val="24"/>
        </w:rPr>
        <w:t xml:space="preserve">. </w:t>
      </w:r>
      <w:r w:rsidR="00A650D9" w:rsidRPr="006F14E7">
        <w:rPr>
          <w:rFonts w:ascii="Times New Roman" w:hAnsi="Times New Roman" w:cs="Times New Roman"/>
          <w:sz w:val="24"/>
          <w:szCs w:val="24"/>
        </w:rPr>
        <w:t xml:space="preserve">Cabe señalar que </w:t>
      </w:r>
      <w:r w:rsidRPr="006F14E7">
        <w:rPr>
          <w:rFonts w:ascii="Times New Roman" w:hAnsi="Times New Roman" w:cs="Times New Roman"/>
          <w:sz w:val="24"/>
          <w:szCs w:val="24"/>
        </w:rPr>
        <w:t>solo el 81% de las personas en condición de pobreza extrema ingresaron a secundaria, y el 51.4% a nivel medio superior, mientras que los estratos que no padecieron vulnerabilidad ni pobreza mostraron un porcentaje de continuación del 92% para secundaria y 91% para medio superior</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10</w:t>
      </w:r>
      <w:r w:rsidRPr="006F14E7">
        <w:rPr>
          <w:rFonts w:ascii="Times New Roman" w:hAnsi="Times New Roman" w:cs="Times New Roman"/>
          <w:sz w:val="24"/>
          <w:szCs w:val="24"/>
          <w:vertAlign w:val="superscript"/>
        </w:rPr>
        <w:t>)</w:t>
      </w:r>
      <w:r w:rsidRPr="00FD3906">
        <w:rPr>
          <w:rFonts w:ascii="Times New Roman" w:hAnsi="Times New Roman" w:cs="Times New Roman"/>
          <w:sz w:val="24"/>
          <w:szCs w:val="24"/>
          <w:vertAlign w:val="subscript"/>
        </w:rPr>
        <w:t>.</w:t>
      </w:r>
    </w:p>
    <w:p w14:paraId="64F9352C" w14:textId="77777777" w:rsidR="006B38C9" w:rsidRPr="006F14E7" w:rsidRDefault="006B38C9" w:rsidP="009E3B50">
      <w:pPr>
        <w:spacing w:after="0" w:line="240" w:lineRule="auto"/>
        <w:jc w:val="both"/>
        <w:rPr>
          <w:rFonts w:ascii="Times New Roman" w:hAnsi="Times New Roman" w:cs="Times New Roman"/>
          <w:sz w:val="24"/>
          <w:szCs w:val="24"/>
        </w:rPr>
      </w:pPr>
    </w:p>
    <w:p w14:paraId="4779D84A" w14:textId="0D7162F7" w:rsidR="006B38C9" w:rsidRPr="006F14E7" w:rsidRDefault="006B38C9" w:rsidP="009E3B50">
      <w:pPr>
        <w:spacing w:after="0" w:line="240" w:lineRule="auto"/>
        <w:ind w:left="708"/>
        <w:jc w:val="both"/>
        <w:rPr>
          <w:rFonts w:ascii="Times New Roman" w:hAnsi="Times New Roman" w:cs="Times New Roman"/>
          <w:i/>
          <w:iCs/>
        </w:rPr>
      </w:pPr>
      <w:r w:rsidRPr="006F14E7">
        <w:rPr>
          <w:rFonts w:ascii="Times New Roman" w:hAnsi="Times New Roman" w:cs="Times New Roman"/>
          <w:color w:val="222222"/>
          <w:shd w:val="clear" w:color="auto" w:fill="FFFFFF"/>
        </w:rPr>
        <w:t>“</w:t>
      </w:r>
      <w:r w:rsidRPr="006F14E7">
        <w:rPr>
          <w:rFonts w:ascii="Times New Roman" w:hAnsi="Times New Roman" w:cs="Times New Roman"/>
          <w:i/>
          <w:iCs/>
        </w:rPr>
        <w:t>En 2017 el salario promedio por hora de los adultos ocupados fue 23.9 pesos sin educación básica, 26.9 pesos con básica, 34.1 pesos con educación media superior y 61.8 con estudios superiores. En términos relativos, esto significa que el salario promedio de los adultos sin educación básica fue equivalente a s</w:t>
      </w:r>
      <w:r w:rsidR="00376DFA" w:rsidRPr="006F14E7">
        <w:rPr>
          <w:rFonts w:ascii="Times New Roman" w:hAnsi="Times New Roman" w:cs="Times New Roman"/>
          <w:i/>
          <w:iCs/>
        </w:rPr>
        <w:t>o</w:t>
      </w:r>
      <w:r w:rsidRPr="006F14E7">
        <w:rPr>
          <w:rFonts w:ascii="Times New Roman" w:hAnsi="Times New Roman" w:cs="Times New Roman"/>
          <w:i/>
          <w:iCs/>
        </w:rPr>
        <w:t>lo</w:t>
      </w:r>
      <w:r w:rsidRPr="006F14E7">
        <w:rPr>
          <w:rFonts w:ascii="Times New Roman" w:hAnsi="Times New Roman" w:cs="Times New Roman"/>
        </w:rPr>
        <w:t xml:space="preserve"> </w:t>
      </w:r>
      <w:r w:rsidRPr="006F14E7">
        <w:rPr>
          <w:rFonts w:ascii="Times New Roman" w:hAnsi="Times New Roman" w:cs="Times New Roman"/>
          <w:i/>
          <w:iCs/>
        </w:rPr>
        <w:t xml:space="preserve">70% del salario que recibieron sus pares con educación media superior” </w:t>
      </w:r>
      <w:r w:rsidR="008803BB" w:rsidRPr="006F14E7">
        <w:rPr>
          <w:rFonts w:ascii="Times New Roman" w:hAnsi="Times New Roman" w:cs="Times New Roman"/>
          <w:i/>
          <w:iCs/>
          <w:vertAlign w:val="superscript"/>
        </w:rPr>
        <w:t>(18</w:t>
      </w:r>
      <w:r w:rsidRPr="006F14E7">
        <w:rPr>
          <w:rFonts w:ascii="Times New Roman" w:hAnsi="Times New Roman" w:cs="Times New Roman"/>
          <w:i/>
          <w:iCs/>
          <w:vertAlign w:val="superscript"/>
        </w:rPr>
        <w:t>).</w:t>
      </w:r>
    </w:p>
    <w:p w14:paraId="76EBA764" w14:textId="77777777" w:rsidR="00EA6748" w:rsidRPr="006F14E7" w:rsidRDefault="00EA6748" w:rsidP="009E3B50">
      <w:pPr>
        <w:spacing w:after="0" w:line="240" w:lineRule="auto"/>
        <w:jc w:val="both"/>
        <w:rPr>
          <w:rFonts w:ascii="Times New Roman" w:hAnsi="Times New Roman" w:cs="Times New Roman"/>
          <w:sz w:val="24"/>
          <w:szCs w:val="24"/>
        </w:rPr>
      </w:pPr>
    </w:p>
    <w:p w14:paraId="7CF57153" w14:textId="6C82A512" w:rsidR="00D6570D"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Finalmente, para el año 2018 la brecha en materia de escolaridad entre las entidades federativas mostró importantes contrastes, tal es el caso de Chiapas qué mostró una escolaridad similar a la media nacional de México en el año 2000. </w:t>
      </w:r>
      <w:r w:rsidR="008F55CA" w:rsidRPr="006F14E7">
        <w:rPr>
          <w:rFonts w:ascii="Times New Roman" w:hAnsi="Times New Roman" w:cs="Times New Roman"/>
          <w:sz w:val="24"/>
          <w:szCs w:val="24"/>
        </w:rPr>
        <w:t>De la</w:t>
      </w:r>
      <w:r w:rsidRPr="006F14E7">
        <w:rPr>
          <w:rFonts w:ascii="Times New Roman" w:hAnsi="Times New Roman" w:cs="Times New Roman"/>
          <w:sz w:val="24"/>
          <w:szCs w:val="24"/>
        </w:rPr>
        <w:t xml:space="preserve"> misma manera Michoacán registró una escolaridad similar a la media nacional del año 2006, así como Puebla con respecto a la media nacional del año 2012</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19</w:t>
      </w:r>
      <w:r w:rsidRPr="006F14E7">
        <w:rPr>
          <w:rFonts w:ascii="Times New Roman" w:hAnsi="Times New Roman" w:cs="Times New Roman"/>
          <w:sz w:val="24"/>
          <w:szCs w:val="24"/>
          <w:vertAlign w:val="superscript"/>
        </w:rPr>
        <w:t>)</w:t>
      </w:r>
      <w:r w:rsidRPr="00FD3906">
        <w:rPr>
          <w:rFonts w:ascii="Times New Roman" w:hAnsi="Times New Roman" w:cs="Times New Roman"/>
          <w:sz w:val="24"/>
          <w:szCs w:val="24"/>
          <w:vertAlign w:val="subscript"/>
        </w:rPr>
        <w:t>.</w:t>
      </w:r>
    </w:p>
    <w:p w14:paraId="63EA5339" w14:textId="77777777" w:rsidR="006E0697" w:rsidRPr="006F14E7" w:rsidRDefault="006E0697" w:rsidP="009E3B50">
      <w:pPr>
        <w:spacing w:after="0" w:line="240" w:lineRule="auto"/>
        <w:jc w:val="both"/>
        <w:rPr>
          <w:rFonts w:ascii="Times New Roman" w:hAnsi="Times New Roman" w:cs="Times New Roman"/>
          <w:sz w:val="24"/>
          <w:szCs w:val="24"/>
        </w:rPr>
      </w:pPr>
    </w:p>
    <w:p w14:paraId="78273C3A" w14:textId="77777777"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lastRenderedPageBreak/>
        <w:drawing>
          <wp:inline distT="0" distB="0" distL="0" distR="0" wp14:anchorId="7FC21B4C" wp14:editId="5735A8C8">
            <wp:extent cx="5612130" cy="1828800"/>
            <wp:effectExtent l="0" t="0" r="7620" b="0"/>
            <wp:docPr id="20" name="Gráfico 20">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55907BD-A7FA-4999-97F3-35D1B6467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7B6F4A" w14:textId="70159DF8" w:rsidR="003506DB" w:rsidRPr="006F14E7" w:rsidRDefault="006B38C9" w:rsidP="009E3B50">
      <w:pPr>
        <w:spacing w:after="0" w:line="240" w:lineRule="auto"/>
        <w:jc w:val="both"/>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Elaboración propia (DGPPEE, 2019:46 60-123)</w:t>
      </w:r>
      <w:bookmarkEnd w:id="2"/>
    </w:p>
    <w:p w14:paraId="085A170D" w14:textId="77777777" w:rsidR="009E3B50" w:rsidRPr="006F14E7" w:rsidRDefault="009E3B50" w:rsidP="009E3B50">
      <w:pPr>
        <w:spacing w:after="0" w:line="240" w:lineRule="auto"/>
        <w:jc w:val="both"/>
        <w:rPr>
          <w:rFonts w:ascii="Times New Roman" w:hAnsi="Times New Roman" w:cs="Times New Roman"/>
        </w:rPr>
      </w:pPr>
    </w:p>
    <w:p w14:paraId="43B22C48" w14:textId="64472881" w:rsidR="006B38C9" w:rsidRPr="006F14E7" w:rsidRDefault="005414F7" w:rsidP="009E3B50">
      <w:pPr>
        <w:pStyle w:val="Prrafodelista"/>
        <w:numPr>
          <w:ilvl w:val="0"/>
          <w:numId w:val="21"/>
        </w:numPr>
        <w:spacing w:after="0" w:line="240" w:lineRule="auto"/>
        <w:jc w:val="both"/>
        <w:rPr>
          <w:rFonts w:ascii="Times New Roman" w:hAnsi="Times New Roman" w:cs="Times New Roman"/>
          <w:b/>
          <w:bCs/>
          <w:sz w:val="24"/>
          <w:szCs w:val="24"/>
        </w:rPr>
      </w:pPr>
      <w:r w:rsidRPr="006F14E7">
        <w:rPr>
          <w:rFonts w:ascii="Times New Roman" w:hAnsi="Times New Roman" w:cs="Times New Roman"/>
          <w:b/>
          <w:bCs/>
          <w:sz w:val="24"/>
          <w:szCs w:val="24"/>
        </w:rPr>
        <w:t>Pobreza y poder adquisitivo</w:t>
      </w:r>
    </w:p>
    <w:p w14:paraId="441BF59C" w14:textId="1042517D"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De acuerdo con el Consejo Nacional de Evaluación de la Política de Desarrollo Social (</w:t>
      </w:r>
      <w:proofErr w:type="spellStart"/>
      <w:r w:rsidRPr="006F14E7">
        <w:rPr>
          <w:rFonts w:ascii="Times New Roman" w:hAnsi="Times New Roman" w:cs="Times New Roman"/>
          <w:sz w:val="24"/>
          <w:szCs w:val="24"/>
        </w:rPr>
        <w:t>Coneval</w:t>
      </w:r>
      <w:proofErr w:type="spellEnd"/>
      <w:r w:rsidRPr="006F14E7">
        <w:rPr>
          <w:rFonts w:ascii="Times New Roman" w:hAnsi="Times New Roman" w:cs="Times New Roman"/>
          <w:sz w:val="24"/>
          <w:szCs w:val="24"/>
        </w:rPr>
        <w:t>), la pobreza alimentaria</w:t>
      </w:r>
      <w:r w:rsidR="002460E5" w:rsidRPr="006F14E7">
        <w:rPr>
          <w:rFonts w:ascii="Times New Roman" w:hAnsi="Times New Roman" w:cs="Times New Roman"/>
          <w:sz w:val="24"/>
          <w:szCs w:val="24"/>
        </w:rPr>
        <w:t xml:space="preserve"> en</w:t>
      </w:r>
      <w:r w:rsidR="00B70F6E" w:rsidRPr="006F14E7">
        <w:rPr>
          <w:rFonts w:ascii="Times New Roman" w:hAnsi="Times New Roman" w:cs="Times New Roman"/>
          <w:sz w:val="24"/>
          <w:szCs w:val="24"/>
        </w:rPr>
        <w:t xml:space="preserve"> </w:t>
      </w:r>
      <w:r w:rsidR="002460E5" w:rsidRPr="006F14E7">
        <w:rPr>
          <w:rFonts w:ascii="Times New Roman" w:hAnsi="Times New Roman" w:cs="Times New Roman"/>
          <w:sz w:val="24"/>
          <w:szCs w:val="24"/>
        </w:rPr>
        <w:t>México</w:t>
      </w:r>
      <w:r w:rsidRPr="006F14E7">
        <w:rPr>
          <w:rFonts w:ascii="Times New Roman" w:hAnsi="Times New Roman" w:cs="Times New Roman"/>
          <w:sz w:val="24"/>
          <w:szCs w:val="24"/>
        </w:rPr>
        <w:t xml:space="preserve">, expresada como </w:t>
      </w:r>
      <w:r w:rsidR="002F0A7A" w:rsidRPr="006F14E7">
        <w:rPr>
          <w:rFonts w:ascii="Times New Roman" w:hAnsi="Times New Roman" w:cs="Times New Roman"/>
          <w:sz w:val="24"/>
          <w:szCs w:val="24"/>
        </w:rPr>
        <w:t>i</w:t>
      </w:r>
      <w:r w:rsidRPr="006F14E7">
        <w:rPr>
          <w:rFonts w:ascii="Times New Roman" w:hAnsi="Times New Roman" w:cs="Times New Roman"/>
          <w:sz w:val="24"/>
          <w:szCs w:val="24"/>
        </w:rPr>
        <w:t>nsuficiencia económica para obtener una canasta básica alimentaria</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20</w:t>
      </w:r>
      <w:r w:rsidR="00B70F6E"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en</w:t>
      </w:r>
      <w:r w:rsidR="00376DFA" w:rsidRPr="006F14E7">
        <w:rPr>
          <w:rFonts w:ascii="Times New Roman" w:hAnsi="Times New Roman" w:cs="Times New Roman"/>
          <w:sz w:val="24"/>
          <w:szCs w:val="24"/>
        </w:rPr>
        <w:t xml:space="preserve"> </w:t>
      </w:r>
      <w:r w:rsidRPr="006F14E7">
        <w:rPr>
          <w:rFonts w:ascii="Times New Roman" w:hAnsi="Times New Roman" w:cs="Times New Roman"/>
          <w:sz w:val="24"/>
          <w:szCs w:val="24"/>
        </w:rPr>
        <w:t>torno a la crisis económica de la década de 1980 fue menor que en el año 2018</w:t>
      </w:r>
      <w:r w:rsidRPr="006F14E7">
        <w:rPr>
          <w:rFonts w:ascii="Times New Roman" w:hAnsi="Times New Roman" w:cs="Times New Roman"/>
          <w:sz w:val="24"/>
          <w:szCs w:val="24"/>
          <w:vertAlign w:val="superscript"/>
        </w:rPr>
        <w:t>(</w:t>
      </w:r>
      <w:r w:rsidR="008803BB" w:rsidRPr="006F14E7">
        <w:rPr>
          <w:rFonts w:ascii="Times New Roman" w:eastAsia="Times New Roman" w:hAnsi="Times New Roman" w:cs="Times New Roman"/>
          <w:sz w:val="24"/>
          <w:szCs w:val="24"/>
          <w:vertAlign w:val="superscript"/>
        </w:rPr>
        <w:t>21,22</w:t>
      </w:r>
      <w:r w:rsidRPr="006F14E7">
        <w:rPr>
          <w:rFonts w:ascii="Times New Roman" w:eastAsia="Times New Roman" w:hAnsi="Times New Roman" w:cs="Times New Roman"/>
          <w:sz w:val="24"/>
          <w:szCs w:val="24"/>
          <w:vertAlign w:val="superscript"/>
        </w:rPr>
        <w:t>)</w:t>
      </w:r>
      <w:r w:rsidRPr="006F14E7">
        <w:rPr>
          <w:rFonts w:ascii="Times New Roman" w:hAnsi="Times New Roman" w:cs="Times New Roman"/>
          <w:sz w:val="24"/>
          <w:szCs w:val="24"/>
        </w:rPr>
        <w:t>.</w:t>
      </w:r>
      <w:r w:rsidR="00B70F6E" w:rsidRPr="006F14E7">
        <w:rPr>
          <w:rFonts w:ascii="Times New Roman" w:hAnsi="Times New Roman" w:cs="Times New Roman"/>
          <w:sz w:val="24"/>
          <w:szCs w:val="24"/>
        </w:rPr>
        <w:t xml:space="preserve"> Mientras que </w:t>
      </w:r>
      <w:r w:rsidRPr="006F14E7">
        <w:rPr>
          <w:rFonts w:ascii="Times New Roman" w:hAnsi="Times New Roman" w:cs="Times New Roman"/>
          <w:sz w:val="24"/>
          <w:szCs w:val="24"/>
        </w:rPr>
        <w:t xml:space="preserve">la pobreza de capacidades, entendida como la insuficiencia del ingreso para adquirir la canasta alimentaria y </w:t>
      </w:r>
      <w:r w:rsidR="00B70F6E" w:rsidRPr="006F14E7">
        <w:rPr>
          <w:rFonts w:ascii="Times New Roman" w:hAnsi="Times New Roman" w:cs="Times New Roman"/>
          <w:sz w:val="24"/>
          <w:szCs w:val="24"/>
        </w:rPr>
        <w:t>acceder a servicios de</w:t>
      </w:r>
      <w:r w:rsidRPr="006F14E7">
        <w:rPr>
          <w:rFonts w:ascii="Times New Roman" w:hAnsi="Times New Roman" w:cs="Times New Roman"/>
          <w:sz w:val="24"/>
          <w:szCs w:val="24"/>
        </w:rPr>
        <w:t xml:space="preserve"> salud y educación</w:t>
      </w:r>
      <w:r w:rsidR="00B70F6E" w:rsidRPr="006F14E7">
        <w:rPr>
          <w:rFonts w:ascii="Times New Roman" w:hAnsi="Times New Roman" w:cs="Times New Roman"/>
          <w:sz w:val="24"/>
          <w:szCs w:val="24"/>
        </w:rPr>
        <w:t xml:space="preserve"> </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20</w:t>
      </w:r>
      <w:r w:rsidRPr="006F14E7">
        <w:rPr>
          <w:rFonts w:ascii="Times New Roman" w:hAnsi="Times New Roman" w:cs="Times New Roman"/>
          <w:sz w:val="24"/>
          <w:szCs w:val="24"/>
          <w:vertAlign w:val="superscript"/>
        </w:rPr>
        <w:t>)</w:t>
      </w:r>
      <w:r w:rsidR="00B70F6E" w:rsidRPr="006F14E7">
        <w:rPr>
          <w:rFonts w:ascii="Times New Roman" w:hAnsi="Times New Roman" w:cs="Times New Roman"/>
          <w:sz w:val="24"/>
          <w:szCs w:val="24"/>
        </w:rPr>
        <w:t xml:space="preserve"> </w:t>
      </w:r>
      <w:r w:rsidRPr="006F14E7">
        <w:rPr>
          <w:rFonts w:ascii="Times New Roman" w:hAnsi="Times New Roman" w:cs="Times New Roman"/>
          <w:sz w:val="24"/>
          <w:szCs w:val="24"/>
        </w:rPr>
        <w:t>solo mostró una reducción en un 1%</w:t>
      </w:r>
      <w:r w:rsidR="00B70F6E" w:rsidRPr="006F14E7">
        <w:rPr>
          <w:rFonts w:ascii="Times New Roman" w:hAnsi="Times New Roman" w:cs="Times New Roman"/>
          <w:sz w:val="24"/>
          <w:szCs w:val="24"/>
        </w:rPr>
        <w:t xml:space="preserve"> en 2018</w:t>
      </w:r>
      <w:r w:rsidRPr="006F14E7">
        <w:rPr>
          <w:rFonts w:ascii="Times New Roman" w:hAnsi="Times New Roman" w:cs="Times New Roman"/>
          <w:sz w:val="24"/>
          <w:szCs w:val="24"/>
        </w:rPr>
        <w:t xml:space="preserve"> con relación a 1984 </w:t>
      </w:r>
      <w:r w:rsidRPr="006F14E7">
        <w:rPr>
          <w:rFonts w:ascii="Times New Roman" w:hAnsi="Times New Roman" w:cs="Times New Roman"/>
          <w:sz w:val="24"/>
          <w:szCs w:val="24"/>
          <w:vertAlign w:val="superscript"/>
        </w:rPr>
        <w:t>(</w:t>
      </w:r>
      <w:r w:rsidR="008803BB" w:rsidRPr="006F14E7">
        <w:rPr>
          <w:rFonts w:ascii="Times New Roman" w:eastAsia="Times New Roman" w:hAnsi="Times New Roman" w:cs="Times New Roman"/>
          <w:sz w:val="24"/>
          <w:szCs w:val="24"/>
          <w:vertAlign w:val="superscript"/>
        </w:rPr>
        <w:t>21,22</w:t>
      </w:r>
      <w:r w:rsidRPr="006F14E7">
        <w:rPr>
          <w:rFonts w:ascii="Times New Roman" w:eastAsia="Times New Roman" w:hAnsi="Times New Roman" w:cs="Times New Roman"/>
          <w:sz w:val="24"/>
          <w:szCs w:val="24"/>
          <w:vertAlign w:val="superscript"/>
        </w:rPr>
        <w:t>)</w:t>
      </w:r>
      <w:r w:rsidRPr="006F14E7">
        <w:rPr>
          <w:rFonts w:ascii="Times New Roman" w:hAnsi="Times New Roman" w:cs="Times New Roman"/>
          <w:sz w:val="24"/>
          <w:szCs w:val="24"/>
        </w:rPr>
        <w:t>.</w:t>
      </w:r>
      <w:r w:rsidR="00B70F6E" w:rsidRPr="006F14E7">
        <w:rPr>
          <w:rFonts w:ascii="Times New Roman" w:hAnsi="Times New Roman" w:cs="Times New Roman"/>
          <w:sz w:val="24"/>
          <w:szCs w:val="24"/>
        </w:rPr>
        <w:t xml:space="preserve"> Así mismo, </w:t>
      </w:r>
      <w:r w:rsidRPr="006F14E7">
        <w:rPr>
          <w:rFonts w:ascii="Times New Roman" w:hAnsi="Times New Roman" w:cs="Times New Roman"/>
          <w:sz w:val="24"/>
          <w:szCs w:val="24"/>
        </w:rPr>
        <w:t xml:space="preserve">la pobreza patrimonial, concebida como la “Insuficiencia del ingreso disponible para adquirir la canasta alimentaria, realizar los gastos en salud, vestido, vivienda, transporte y educación” </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20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prácticamente no cambió, pues solo descendió 0.6% en 2018 con</w:t>
      </w:r>
      <w:r w:rsidR="00376DFA" w:rsidRPr="006F14E7">
        <w:rPr>
          <w:rFonts w:ascii="Times New Roman" w:hAnsi="Times New Roman" w:cs="Times New Roman"/>
          <w:sz w:val="24"/>
          <w:szCs w:val="24"/>
        </w:rPr>
        <w:t xml:space="preserve"> relación </w:t>
      </w:r>
      <w:r w:rsidRPr="006F14E7">
        <w:rPr>
          <w:rFonts w:ascii="Times New Roman" w:hAnsi="Times New Roman" w:cs="Times New Roman"/>
          <w:sz w:val="24"/>
          <w:szCs w:val="24"/>
        </w:rPr>
        <w:t xml:space="preserve">a 1984 </w:t>
      </w:r>
      <w:r w:rsidRPr="006F14E7">
        <w:rPr>
          <w:rFonts w:ascii="Times New Roman" w:hAnsi="Times New Roman" w:cs="Times New Roman"/>
          <w:sz w:val="24"/>
          <w:szCs w:val="24"/>
          <w:vertAlign w:val="superscript"/>
        </w:rPr>
        <w:t>(</w:t>
      </w:r>
      <w:r w:rsidR="008803BB" w:rsidRPr="006F14E7">
        <w:rPr>
          <w:rFonts w:ascii="Times New Roman" w:hAnsi="Times New Roman" w:cs="Times New Roman"/>
          <w:sz w:val="24"/>
          <w:szCs w:val="24"/>
          <w:vertAlign w:val="superscript"/>
        </w:rPr>
        <w:t>21,22</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195479D8" w14:textId="77777777" w:rsidR="00877B43" w:rsidRPr="006F14E7" w:rsidRDefault="00877B43" w:rsidP="009E3B50">
      <w:pPr>
        <w:spacing w:after="0" w:line="240" w:lineRule="auto"/>
        <w:jc w:val="both"/>
        <w:rPr>
          <w:rFonts w:ascii="Times New Roman" w:hAnsi="Times New Roman" w:cs="Times New Roman"/>
          <w:sz w:val="24"/>
          <w:szCs w:val="24"/>
        </w:rPr>
      </w:pPr>
    </w:p>
    <w:p w14:paraId="3DEB4298" w14:textId="77777777"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noProof/>
          <w:color w:val="FFD966" w:themeColor="accent4" w:themeTint="99"/>
          <w:sz w:val="24"/>
          <w:szCs w:val="24"/>
          <w:lang w:val="es-CL" w:eastAsia="es-CL"/>
        </w:rPr>
        <w:drawing>
          <wp:inline distT="0" distB="0" distL="0" distR="0" wp14:anchorId="557D36F5" wp14:editId="4098E2F6">
            <wp:extent cx="5404485" cy="3067050"/>
            <wp:effectExtent l="0" t="0" r="5715" b="0"/>
            <wp:docPr id="3" name="Gráfico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342F13E-CA9B-40AE-97A2-C3DA49C517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669511" w14:textId="42325A97" w:rsidR="006B38C9" w:rsidRPr="006F14E7" w:rsidRDefault="006B38C9" w:rsidP="009E3B50">
      <w:pPr>
        <w:spacing w:after="0" w:line="240" w:lineRule="auto"/>
        <w:jc w:val="both"/>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xml:space="preserve"> </w:t>
      </w:r>
      <w:r w:rsidR="00B0243D" w:rsidRPr="006F14E7">
        <w:rPr>
          <w:rFonts w:ascii="Times New Roman" w:hAnsi="Times New Roman" w:cs="Times New Roman"/>
        </w:rPr>
        <w:t>(</w:t>
      </w:r>
      <w:proofErr w:type="spellStart"/>
      <w:r w:rsidRPr="006F14E7">
        <w:rPr>
          <w:rFonts w:ascii="Times New Roman" w:hAnsi="Times New Roman" w:cs="Times New Roman"/>
        </w:rPr>
        <w:t>Székely</w:t>
      </w:r>
      <w:proofErr w:type="spellEnd"/>
      <w:r w:rsidRPr="006F14E7">
        <w:rPr>
          <w:rFonts w:ascii="Times New Roman" w:hAnsi="Times New Roman" w:cs="Times New Roman"/>
        </w:rPr>
        <w:t xml:space="preserve">, 2005:294; </w:t>
      </w:r>
      <w:proofErr w:type="spellStart"/>
      <w:r w:rsidRPr="006F14E7">
        <w:rPr>
          <w:rFonts w:ascii="Times New Roman" w:hAnsi="Times New Roman" w:cs="Times New Roman"/>
        </w:rPr>
        <w:t>Coneval</w:t>
      </w:r>
      <w:proofErr w:type="spellEnd"/>
      <w:r w:rsidRPr="006F14E7">
        <w:rPr>
          <w:rFonts w:ascii="Times New Roman" w:hAnsi="Times New Roman" w:cs="Times New Roman"/>
        </w:rPr>
        <w:t>, 2018</w:t>
      </w:r>
      <w:r w:rsidR="00B0243D" w:rsidRPr="006F14E7">
        <w:rPr>
          <w:rFonts w:ascii="Times New Roman" w:hAnsi="Times New Roman" w:cs="Times New Roman"/>
        </w:rPr>
        <w:t>)</w:t>
      </w:r>
      <w:r w:rsidRPr="006F14E7">
        <w:rPr>
          <w:rFonts w:ascii="Times New Roman" w:hAnsi="Times New Roman" w:cs="Times New Roman"/>
        </w:rPr>
        <w:t>.</w:t>
      </w:r>
    </w:p>
    <w:p w14:paraId="2576D1F2" w14:textId="0E94690D" w:rsidR="00D950CB" w:rsidRPr="006F14E7" w:rsidRDefault="00D950CB" w:rsidP="009E3B50">
      <w:pPr>
        <w:spacing w:after="0" w:line="240" w:lineRule="auto"/>
        <w:jc w:val="both"/>
        <w:rPr>
          <w:rFonts w:ascii="Times New Roman" w:hAnsi="Times New Roman" w:cs="Times New Roman"/>
          <w:sz w:val="24"/>
          <w:szCs w:val="24"/>
        </w:rPr>
      </w:pPr>
    </w:p>
    <w:p w14:paraId="6E8EDCBB" w14:textId="77777777" w:rsidR="009E3B50" w:rsidRPr="006F14E7" w:rsidRDefault="009E3B50" w:rsidP="009E3B50">
      <w:pPr>
        <w:spacing w:after="0" w:line="240" w:lineRule="auto"/>
        <w:jc w:val="both"/>
        <w:rPr>
          <w:rFonts w:ascii="Times New Roman" w:hAnsi="Times New Roman" w:cs="Times New Roman"/>
          <w:sz w:val="24"/>
          <w:szCs w:val="24"/>
        </w:rPr>
      </w:pPr>
    </w:p>
    <w:p w14:paraId="117CC880" w14:textId="3CB1DFA7" w:rsidR="00664E3A" w:rsidRPr="006F14E7" w:rsidRDefault="006B38C9" w:rsidP="009E3B50">
      <w:pPr>
        <w:spacing w:after="0" w:line="240" w:lineRule="auto"/>
        <w:jc w:val="both"/>
        <w:rPr>
          <w:rFonts w:ascii="Times New Roman" w:hAnsi="Times New Roman" w:cs="Times New Roman"/>
          <w:color w:val="FF0000"/>
          <w:sz w:val="24"/>
          <w:szCs w:val="24"/>
        </w:rPr>
      </w:pPr>
      <w:r w:rsidRPr="006F14E7">
        <w:rPr>
          <w:rFonts w:ascii="Times New Roman" w:hAnsi="Times New Roman" w:cs="Times New Roman"/>
          <w:sz w:val="24"/>
          <w:szCs w:val="24"/>
        </w:rPr>
        <w:lastRenderedPageBreak/>
        <w:t xml:space="preserve">De acuerdo con el Programa Nacional de Salud 1990-1994, durante la década de 1980, la crisis financiera de los países en desarrollo reafirmó la estrecha relación entre el bienestar económico y el estado de la salud, además de considerar entre los principales determinantes de la salud, después del factor económico a la educación, la vivienda, así como la disponibilidad de los servicios de </w:t>
      </w:r>
      <w:proofErr w:type="gramStart"/>
      <w:r w:rsidRPr="006F14E7">
        <w:rPr>
          <w:rFonts w:ascii="Times New Roman" w:hAnsi="Times New Roman" w:cs="Times New Roman"/>
          <w:sz w:val="24"/>
          <w:szCs w:val="24"/>
        </w:rPr>
        <w:t>salud</w:t>
      </w:r>
      <w:r w:rsidRPr="006F14E7">
        <w:rPr>
          <w:rFonts w:ascii="Times New Roman" w:hAnsi="Times New Roman" w:cs="Times New Roman"/>
          <w:sz w:val="24"/>
          <w:szCs w:val="24"/>
          <w:vertAlign w:val="superscript"/>
        </w:rPr>
        <w:t>(</w:t>
      </w:r>
      <w:proofErr w:type="gramEnd"/>
      <w:r w:rsidR="008803BB" w:rsidRPr="006F14E7">
        <w:rPr>
          <w:rFonts w:ascii="Times New Roman" w:hAnsi="Times New Roman" w:cs="Times New Roman"/>
          <w:sz w:val="24"/>
          <w:szCs w:val="24"/>
          <w:vertAlign w:val="superscript"/>
        </w:rPr>
        <w:t>9</w:t>
      </w:r>
      <w:r w:rsidR="00E3548B" w:rsidRPr="006F14E7">
        <w:rPr>
          <w:rFonts w:ascii="Times New Roman" w:hAnsi="Times New Roman" w:cs="Times New Roman"/>
          <w:sz w:val="24"/>
          <w:szCs w:val="24"/>
          <w:vertAlign w:val="superscript"/>
        </w:rPr>
        <w:t>)</w:t>
      </w:r>
      <w:r w:rsidR="00664E3A" w:rsidRPr="006F14E7">
        <w:rPr>
          <w:rFonts w:ascii="Times New Roman" w:hAnsi="Times New Roman" w:cs="Times New Roman"/>
          <w:sz w:val="24"/>
          <w:szCs w:val="24"/>
        </w:rPr>
        <w:t>.</w:t>
      </w:r>
      <w:r w:rsidR="00664E3A" w:rsidRPr="006F14E7">
        <w:rPr>
          <w:rFonts w:ascii="Times New Roman" w:hAnsi="Times New Roman" w:cs="Times New Roman"/>
          <w:color w:val="FF0000"/>
          <w:sz w:val="24"/>
          <w:szCs w:val="24"/>
        </w:rPr>
        <w:t xml:space="preserve"> </w:t>
      </w:r>
      <w:r w:rsidR="00A46D95" w:rsidRPr="006F14E7">
        <w:rPr>
          <w:rFonts w:ascii="Times New Roman" w:hAnsi="Times New Roman" w:cs="Times New Roman"/>
          <w:sz w:val="24"/>
          <w:szCs w:val="24"/>
        </w:rPr>
        <w:t>Tal fue el caso</w:t>
      </w:r>
      <w:r w:rsidRPr="006F14E7">
        <w:rPr>
          <w:rFonts w:ascii="Times New Roman" w:hAnsi="Times New Roman" w:cs="Times New Roman"/>
          <w:sz w:val="24"/>
          <w:szCs w:val="24"/>
        </w:rPr>
        <w:t xml:space="preserve"> que las familias del </w:t>
      </w:r>
      <w:proofErr w:type="spellStart"/>
      <w:r w:rsidRPr="006F14E7">
        <w:rPr>
          <w:rFonts w:ascii="Times New Roman" w:hAnsi="Times New Roman" w:cs="Times New Roman"/>
          <w:sz w:val="24"/>
          <w:szCs w:val="24"/>
        </w:rPr>
        <w:t>decil</w:t>
      </w:r>
      <w:proofErr w:type="spellEnd"/>
      <w:r w:rsidRPr="006F14E7">
        <w:rPr>
          <w:rFonts w:ascii="Times New Roman" w:hAnsi="Times New Roman" w:cs="Times New Roman"/>
          <w:sz w:val="24"/>
          <w:szCs w:val="24"/>
        </w:rPr>
        <w:t xml:space="preserve"> X</w:t>
      </w:r>
      <w:r w:rsidR="00A46D95" w:rsidRPr="006F14E7">
        <w:rPr>
          <w:rFonts w:ascii="Times New Roman" w:hAnsi="Times New Roman" w:cs="Times New Roman"/>
          <w:sz w:val="24"/>
          <w:szCs w:val="24"/>
        </w:rPr>
        <w:t>, aquellas que</w:t>
      </w:r>
      <w:r w:rsidRPr="006F14E7">
        <w:rPr>
          <w:rFonts w:ascii="Times New Roman" w:hAnsi="Times New Roman" w:cs="Times New Roman"/>
          <w:sz w:val="24"/>
          <w:szCs w:val="24"/>
        </w:rPr>
        <w:t xml:space="preserve"> percibieron ingresos</w:t>
      </w:r>
      <w:r w:rsidR="00A46D95" w:rsidRPr="006F14E7">
        <w:rPr>
          <w:rFonts w:ascii="Times New Roman" w:hAnsi="Times New Roman" w:cs="Times New Roman"/>
          <w:sz w:val="24"/>
          <w:szCs w:val="24"/>
        </w:rPr>
        <w:t xml:space="preserve"> 27 veces mayores</w:t>
      </w:r>
      <w:r w:rsidRPr="006F14E7">
        <w:rPr>
          <w:rFonts w:ascii="Times New Roman" w:hAnsi="Times New Roman" w:cs="Times New Roman"/>
          <w:sz w:val="24"/>
          <w:szCs w:val="24"/>
        </w:rPr>
        <w:t xml:space="preserve"> </w:t>
      </w:r>
      <w:r w:rsidR="00A46D95" w:rsidRPr="006F14E7">
        <w:rPr>
          <w:rFonts w:ascii="Times New Roman" w:hAnsi="Times New Roman" w:cs="Times New Roman"/>
          <w:sz w:val="24"/>
          <w:szCs w:val="24"/>
        </w:rPr>
        <w:t xml:space="preserve">a los del </w:t>
      </w:r>
      <w:proofErr w:type="spellStart"/>
      <w:r w:rsidR="00FD3906">
        <w:rPr>
          <w:rFonts w:ascii="Times New Roman" w:hAnsi="Times New Roman" w:cs="Times New Roman"/>
          <w:sz w:val="24"/>
          <w:szCs w:val="24"/>
        </w:rPr>
        <w:t>decil</w:t>
      </w:r>
      <w:proofErr w:type="spellEnd"/>
      <w:r w:rsidR="00FD3906">
        <w:rPr>
          <w:rFonts w:ascii="Times New Roman" w:hAnsi="Times New Roman" w:cs="Times New Roman"/>
          <w:sz w:val="24"/>
          <w:szCs w:val="24"/>
        </w:rPr>
        <w:t xml:space="preserve"> I,</w:t>
      </w:r>
      <w:r w:rsidRPr="006F14E7">
        <w:rPr>
          <w:rFonts w:ascii="Times New Roman" w:hAnsi="Times New Roman" w:cs="Times New Roman"/>
          <w:sz w:val="24"/>
          <w:szCs w:val="24"/>
        </w:rPr>
        <w:t xml:space="preserve"> destinaron</w:t>
      </w:r>
      <w:r w:rsidR="00664E3A" w:rsidRPr="006F14E7">
        <w:rPr>
          <w:rFonts w:ascii="Times New Roman" w:hAnsi="Times New Roman" w:cs="Times New Roman"/>
          <w:sz w:val="24"/>
          <w:szCs w:val="24"/>
        </w:rPr>
        <w:t xml:space="preserve"> menos del 20%</w:t>
      </w:r>
      <w:r w:rsidRPr="006F14E7">
        <w:rPr>
          <w:rFonts w:ascii="Times New Roman" w:hAnsi="Times New Roman" w:cs="Times New Roman"/>
          <w:sz w:val="24"/>
          <w:szCs w:val="24"/>
        </w:rPr>
        <w:t xml:space="preserve"> </w:t>
      </w:r>
      <w:r w:rsidR="00664E3A" w:rsidRPr="006F14E7">
        <w:rPr>
          <w:rFonts w:ascii="Times New Roman" w:hAnsi="Times New Roman" w:cs="Times New Roman"/>
          <w:sz w:val="24"/>
          <w:szCs w:val="24"/>
        </w:rPr>
        <w:t xml:space="preserve">de sus ingresos </w:t>
      </w:r>
      <w:r w:rsidRPr="006F14E7">
        <w:rPr>
          <w:rFonts w:ascii="Times New Roman" w:hAnsi="Times New Roman" w:cs="Times New Roman"/>
          <w:sz w:val="24"/>
          <w:szCs w:val="24"/>
        </w:rPr>
        <w:t>en alimentos</w:t>
      </w:r>
      <w:r w:rsidR="00664E3A" w:rsidRPr="006F14E7">
        <w:rPr>
          <w:rFonts w:ascii="Times New Roman" w:hAnsi="Times New Roman" w:cs="Times New Roman"/>
          <w:sz w:val="24"/>
          <w:szCs w:val="24"/>
        </w:rPr>
        <w:t xml:space="preserve">, mientras que el </w:t>
      </w:r>
      <w:proofErr w:type="spellStart"/>
      <w:r w:rsidR="00664E3A" w:rsidRPr="006F14E7">
        <w:rPr>
          <w:rFonts w:ascii="Times New Roman" w:hAnsi="Times New Roman" w:cs="Times New Roman"/>
          <w:sz w:val="24"/>
          <w:szCs w:val="24"/>
        </w:rPr>
        <w:t>decil</w:t>
      </w:r>
      <w:proofErr w:type="spellEnd"/>
      <w:r w:rsidR="00664E3A" w:rsidRPr="006F14E7">
        <w:rPr>
          <w:rFonts w:ascii="Times New Roman" w:hAnsi="Times New Roman" w:cs="Times New Roman"/>
          <w:sz w:val="24"/>
          <w:szCs w:val="24"/>
        </w:rPr>
        <w:t xml:space="preserve"> I destinó </w:t>
      </w:r>
      <w:r w:rsidR="00A46D95" w:rsidRPr="006F14E7">
        <w:rPr>
          <w:rFonts w:ascii="Times New Roman" w:hAnsi="Times New Roman" w:cs="Times New Roman"/>
          <w:sz w:val="24"/>
          <w:szCs w:val="24"/>
        </w:rPr>
        <w:t>más del 40%</w:t>
      </w:r>
      <w:r w:rsidRPr="006F14E7">
        <w:rPr>
          <w:rFonts w:ascii="Times New Roman" w:hAnsi="Times New Roman" w:cs="Times New Roman"/>
          <w:sz w:val="24"/>
          <w:szCs w:val="24"/>
        </w:rPr>
        <w:t xml:space="preserve"> </w:t>
      </w:r>
      <w:r w:rsidR="00A46D95" w:rsidRPr="006F14E7">
        <w:rPr>
          <w:rFonts w:ascii="Times New Roman" w:hAnsi="Times New Roman" w:cs="Times New Roman"/>
          <w:sz w:val="24"/>
          <w:szCs w:val="24"/>
          <w:vertAlign w:val="superscript"/>
        </w:rPr>
        <w:t>(</w:t>
      </w:r>
      <w:r w:rsidR="00807679" w:rsidRPr="006F14E7">
        <w:rPr>
          <w:rFonts w:ascii="Times New Roman" w:hAnsi="Times New Roman" w:cs="Times New Roman"/>
          <w:sz w:val="24"/>
          <w:szCs w:val="24"/>
          <w:vertAlign w:val="superscript"/>
        </w:rPr>
        <w:t>23,24,25</w:t>
      </w:r>
      <w:r w:rsidR="00A46D95" w:rsidRPr="006F14E7">
        <w:rPr>
          <w:rFonts w:ascii="Times New Roman" w:hAnsi="Times New Roman" w:cs="Times New Roman"/>
          <w:sz w:val="24"/>
          <w:szCs w:val="24"/>
          <w:vertAlign w:val="superscript"/>
        </w:rPr>
        <w:t>)</w:t>
      </w:r>
      <w:r w:rsidR="005155AA" w:rsidRPr="006F14E7">
        <w:rPr>
          <w:rFonts w:ascii="Times New Roman" w:hAnsi="Times New Roman" w:cs="Times New Roman"/>
          <w:sz w:val="24"/>
          <w:szCs w:val="24"/>
        </w:rPr>
        <w:t>.</w:t>
      </w:r>
    </w:p>
    <w:p w14:paraId="3083C6B5" w14:textId="77777777" w:rsidR="005155AA" w:rsidRPr="006F14E7" w:rsidRDefault="005155AA" w:rsidP="009E3B50">
      <w:pPr>
        <w:spacing w:after="0" w:line="240" w:lineRule="auto"/>
        <w:jc w:val="both"/>
        <w:rPr>
          <w:rFonts w:ascii="Times New Roman" w:hAnsi="Times New Roman" w:cs="Times New Roman"/>
          <w:sz w:val="24"/>
          <w:szCs w:val="24"/>
        </w:rPr>
      </w:pPr>
    </w:p>
    <w:p w14:paraId="1D23505B" w14:textId="77777777"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35CF5732" wp14:editId="14E25C07">
            <wp:extent cx="5524500" cy="2396359"/>
            <wp:effectExtent l="0" t="0" r="0" b="4445"/>
            <wp:docPr id="41" name="Gráfico 4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833FDE1-CDDE-4887-9EDC-BF17FE3E2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CE7CC9" w14:textId="673799F0" w:rsidR="006B38C9" w:rsidRPr="006F14E7" w:rsidRDefault="006B38C9" w:rsidP="009E3B50">
      <w:pPr>
        <w:spacing w:after="0" w:line="240" w:lineRule="auto"/>
        <w:jc w:val="both"/>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xml:space="preserve"> Elaboración propia (ENIGH, 1989:83; INEGI, 2019; CEDRSSA, 2019:9)</w:t>
      </w:r>
      <w:r w:rsidR="00B0243D" w:rsidRPr="006F14E7">
        <w:rPr>
          <w:rFonts w:ascii="Times New Roman" w:hAnsi="Times New Roman" w:cs="Times New Roman"/>
        </w:rPr>
        <w:t>.</w:t>
      </w:r>
    </w:p>
    <w:p w14:paraId="657D4F48" w14:textId="77777777" w:rsidR="004B0E1A" w:rsidRPr="006F14E7" w:rsidRDefault="004B0E1A" w:rsidP="009E3B50">
      <w:pPr>
        <w:spacing w:after="0" w:line="240" w:lineRule="auto"/>
        <w:jc w:val="both"/>
        <w:rPr>
          <w:rFonts w:ascii="Times New Roman" w:hAnsi="Times New Roman" w:cs="Times New Roman"/>
          <w:sz w:val="24"/>
          <w:szCs w:val="24"/>
        </w:rPr>
      </w:pPr>
    </w:p>
    <w:p w14:paraId="053DE58E" w14:textId="57801F33"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De acuerdo con el Plan Nacional de Desarrollo 2001-2006, en el año 2000 el 20% de la población de más alto nivel económico concentró 58% del ingreso total del país, mientras que el 20% más pobre recibió s</w:t>
      </w:r>
      <w:r w:rsidR="00376DFA" w:rsidRPr="006F14E7">
        <w:rPr>
          <w:rFonts w:ascii="Times New Roman" w:hAnsi="Times New Roman" w:cs="Times New Roman"/>
          <w:sz w:val="24"/>
          <w:szCs w:val="24"/>
        </w:rPr>
        <w:t>o</w:t>
      </w:r>
      <w:r w:rsidRPr="006F14E7">
        <w:rPr>
          <w:rFonts w:ascii="Times New Roman" w:hAnsi="Times New Roman" w:cs="Times New Roman"/>
          <w:sz w:val="24"/>
          <w:szCs w:val="24"/>
        </w:rPr>
        <w:t>lo 3.7%</w:t>
      </w:r>
      <w:r w:rsidRPr="006F14E7">
        <w:rPr>
          <w:rFonts w:ascii="Times New Roman" w:hAnsi="Times New Roman" w:cs="Times New Roman"/>
          <w:color w:val="FF0000"/>
          <w:sz w:val="24"/>
          <w:szCs w:val="24"/>
        </w:rPr>
        <w:t xml:space="preserve">. </w:t>
      </w:r>
      <w:r w:rsidRPr="006F14E7">
        <w:rPr>
          <w:rFonts w:ascii="Times New Roman" w:hAnsi="Times New Roman" w:cs="Times New Roman"/>
          <w:sz w:val="24"/>
          <w:szCs w:val="24"/>
        </w:rPr>
        <w:t xml:space="preserve">Así mismo la PAE en general, el 55% percibió un ingreso inferior a dos salarios mínimos mensuales; 47.5% </w:t>
      </w:r>
      <w:r w:rsidRPr="006F14E7">
        <w:rPr>
          <w:rFonts w:ascii="Times New Roman" w:hAnsi="Times New Roman" w:cs="Times New Roman"/>
          <w:sz w:val="24"/>
          <w:szCs w:val="24"/>
          <w:vertAlign w:val="superscript"/>
        </w:rPr>
        <w:t>(</w:t>
      </w:r>
      <w:r w:rsidR="00807679" w:rsidRPr="006F14E7">
        <w:rPr>
          <w:rFonts w:ascii="Times New Roman" w:hAnsi="Times New Roman" w:cs="Times New Roman"/>
          <w:sz w:val="24"/>
          <w:szCs w:val="24"/>
          <w:vertAlign w:val="superscript"/>
        </w:rPr>
        <w:t>14</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w:t>
      </w:r>
    </w:p>
    <w:p w14:paraId="50B23E82" w14:textId="77777777" w:rsidR="00181EC4" w:rsidRPr="006F14E7" w:rsidRDefault="00181EC4" w:rsidP="009E3B50">
      <w:pPr>
        <w:spacing w:after="0" w:line="240" w:lineRule="auto"/>
        <w:jc w:val="both"/>
        <w:rPr>
          <w:rFonts w:ascii="Times New Roman" w:hAnsi="Times New Roman" w:cs="Times New Roman"/>
          <w:sz w:val="24"/>
          <w:szCs w:val="24"/>
        </w:rPr>
      </w:pPr>
    </w:p>
    <w:p w14:paraId="3A0E9759" w14:textId="48C70BF4" w:rsidR="00D950CB"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Posteriormente, para el año 2007, la pobreza, tanto de capacidades, como alimentaria en regiones predominantemente indígenas, prácticamente fue la misma proporción. En primer lugar, se encontró Chiapas con 55.9%, el estado de Gue</w:t>
      </w:r>
      <w:r w:rsidRPr="006F14E7">
        <w:rPr>
          <w:rFonts w:ascii="Times New Roman" w:hAnsi="Times New Roman" w:cs="Times New Roman"/>
          <w:sz w:val="24"/>
          <w:szCs w:val="24"/>
        </w:rPr>
        <w:softHyphen/>
        <w:t>rrero con 50.2% y Oaxaca con 46.9%. Así mismo, los es</w:t>
      </w:r>
      <w:r w:rsidRPr="006F14E7">
        <w:rPr>
          <w:rFonts w:ascii="Times New Roman" w:hAnsi="Times New Roman" w:cs="Times New Roman"/>
          <w:sz w:val="24"/>
          <w:szCs w:val="24"/>
        </w:rPr>
        <w:softHyphen/>
        <w:t xml:space="preserve">tados con mayor pobreza de patrimonio fueron Chiapas, Guerrero y Oaxaca, con 75.7, 70.2 y 68%, </w:t>
      </w:r>
      <w:proofErr w:type="gramStart"/>
      <w:r w:rsidRPr="006F14E7">
        <w:rPr>
          <w:rFonts w:ascii="Times New Roman" w:hAnsi="Times New Roman" w:cs="Times New Roman"/>
          <w:sz w:val="24"/>
          <w:szCs w:val="24"/>
        </w:rPr>
        <w:t>respectivamente</w:t>
      </w:r>
      <w:r w:rsidRPr="006F14E7">
        <w:rPr>
          <w:rFonts w:ascii="Times New Roman" w:hAnsi="Times New Roman" w:cs="Times New Roman"/>
          <w:sz w:val="24"/>
          <w:szCs w:val="24"/>
          <w:vertAlign w:val="superscript"/>
        </w:rPr>
        <w:t>(</w:t>
      </w:r>
      <w:proofErr w:type="gramEnd"/>
      <w:r w:rsidR="00807679" w:rsidRPr="006F14E7">
        <w:rPr>
          <w:rFonts w:ascii="Times New Roman" w:hAnsi="Times New Roman" w:cs="Times New Roman"/>
          <w:sz w:val="24"/>
          <w:szCs w:val="24"/>
          <w:vertAlign w:val="superscript"/>
        </w:rPr>
        <w:t>15</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Además, los niveles de pobreza con </w:t>
      </w:r>
      <w:proofErr w:type="spellStart"/>
      <w:r w:rsidRPr="006F14E7">
        <w:rPr>
          <w:rFonts w:ascii="Times New Roman" w:hAnsi="Times New Roman" w:cs="Times New Roman"/>
          <w:sz w:val="24"/>
          <w:szCs w:val="24"/>
        </w:rPr>
        <w:t>relacion</w:t>
      </w:r>
      <w:proofErr w:type="spellEnd"/>
      <w:r w:rsidRPr="006F14E7">
        <w:rPr>
          <w:rFonts w:ascii="Times New Roman" w:hAnsi="Times New Roman" w:cs="Times New Roman"/>
          <w:sz w:val="24"/>
          <w:szCs w:val="24"/>
        </w:rPr>
        <w:t xml:space="preserve"> a la década de 1990 mantuvieron amplias </w:t>
      </w:r>
      <w:proofErr w:type="gramStart"/>
      <w:r w:rsidRPr="006F14E7">
        <w:rPr>
          <w:rFonts w:ascii="Times New Roman" w:hAnsi="Times New Roman" w:cs="Times New Roman"/>
          <w:sz w:val="24"/>
          <w:szCs w:val="24"/>
        </w:rPr>
        <w:t>similitudes</w:t>
      </w:r>
      <w:r w:rsidR="00807679" w:rsidRPr="006F14E7">
        <w:rPr>
          <w:rFonts w:ascii="Times New Roman" w:hAnsi="Times New Roman" w:cs="Times New Roman"/>
          <w:sz w:val="24"/>
          <w:szCs w:val="24"/>
          <w:vertAlign w:val="superscript"/>
        </w:rPr>
        <w:t>(</w:t>
      </w:r>
      <w:proofErr w:type="gramEnd"/>
      <w:r w:rsidR="00807679" w:rsidRPr="006F14E7">
        <w:rPr>
          <w:rFonts w:ascii="Times New Roman" w:hAnsi="Times New Roman" w:cs="Times New Roman"/>
          <w:sz w:val="24"/>
          <w:szCs w:val="24"/>
          <w:vertAlign w:val="superscript"/>
        </w:rPr>
        <w:t>15</w:t>
      </w:r>
      <w:r w:rsidR="00181EC4"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De la misma forma, para el año 2018, la pobreza en términos generales se concentró en regiones con mayor presencia indígena, como fueron, Chiapas, Guerrero y Oaxaca, los cuales reportaron una proporción de pobreza mayor al 90%, es decir, casi 40% mayor a Nuevo León, el estado con menos proporción de pobreza (55%)</w:t>
      </w:r>
      <w:r w:rsidRPr="006F14E7">
        <w:rPr>
          <w:rFonts w:ascii="Times New Roman" w:hAnsi="Times New Roman" w:cs="Times New Roman"/>
          <w:sz w:val="24"/>
          <w:szCs w:val="24"/>
          <w:vertAlign w:val="superscript"/>
        </w:rPr>
        <w:t>(</w:t>
      </w:r>
      <w:r w:rsidR="00807679" w:rsidRPr="006F14E7">
        <w:rPr>
          <w:rFonts w:ascii="Times New Roman" w:hAnsi="Times New Roman" w:cs="Times New Roman"/>
          <w:sz w:val="24"/>
          <w:szCs w:val="24"/>
          <w:vertAlign w:val="superscript"/>
        </w:rPr>
        <w:t>20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2C725189" w14:textId="77777777" w:rsidR="00A85EB1" w:rsidRPr="006F14E7" w:rsidRDefault="00A85EB1" w:rsidP="009E3B50">
      <w:pPr>
        <w:spacing w:after="0" w:line="240" w:lineRule="auto"/>
        <w:jc w:val="both"/>
        <w:rPr>
          <w:rFonts w:ascii="Times New Roman" w:hAnsi="Times New Roman" w:cs="Times New Roman"/>
          <w:sz w:val="24"/>
          <w:szCs w:val="24"/>
        </w:rPr>
      </w:pPr>
    </w:p>
    <w:p w14:paraId="1178075B" w14:textId="3D166DEB" w:rsidR="00181EC4"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lastRenderedPageBreak/>
        <w:drawing>
          <wp:inline distT="0" distB="0" distL="0" distR="0" wp14:anchorId="327E9F6D" wp14:editId="42B461A2">
            <wp:extent cx="5570220" cy="2060812"/>
            <wp:effectExtent l="0" t="0" r="11430" b="15875"/>
            <wp:docPr id="13" name="Gráfico 1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8470FBF-C83D-4D6D-A562-2025F7DB3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F14E7">
        <w:rPr>
          <w:rFonts w:ascii="Times New Roman" w:hAnsi="Times New Roman" w:cs="Times New Roman"/>
          <w:b/>
          <w:bCs/>
        </w:rPr>
        <w:t>Fuente:</w:t>
      </w:r>
      <w:r w:rsidRPr="006F14E7">
        <w:rPr>
          <w:rFonts w:ascii="Times New Roman" w:hAnsi="Times New Roman" w:cs="Times New Roman"/>
        </w:rPr>
        <w:t xml:space="preserve"> Elaboración propia (</w:t>
      </w:r>
      <w:proofErr w:type="spellStart"/>
      <w:r w:rsidRPr="006F14E7">
        <w:rPr>
          <w:rFonts w:ascii="Times New Roman" w:hAnsi="Times New Roman" w:cs="Times New Roman"/>
        </w:rPr>
        <w:t>Coneval</w:t>
      </w:r>
      <w:proofErr w:type="spellEnd"/>
      <w:r w:rsidRPr="006F14E7">
        <w:rPr>
          <w:rFonts w:ascii="Times New Roman" w:hAnsi="Times New Roman" w:cs="Times New Roman"/>
        </w:rPr>
        <w:t>, 2020</w:t>
      </w:r>
      <w:r w:rsidR="00B0243D" w:rsidRPr="006F14E7">
        <w:rPr>
          <w:rFonts w:ascii="Times New Roman" w:hAnsi="Times New Roman" w:cs="Times New Roman"/>
        </w:rPr>
        <w:t>b)</w:t>
      </w:r>
      <w:r w:rsidR="00181EC4" w:rsidRPr="006F14E7">
        <w:rPr>
          <w:rFonts w:ascii="Times New Roman" w:hAnsi="Times New Roman" w:cs="Times New Roman"/>
        </w:rPr>
        <w:t>.</w:t>
      </w:r>
    </w:p>
    <w:p w14:paraId="208396E2" w14:textId="77777777" w:rsidR="00407553" w:rsidRPr="006F14E7" w:rsidRDefault="00407553" w:rsidP="009E3B50">
      <w:pPr>
        <w:spacing w:after="0" w:line="240" w:lineRule="auto"/>
        <w:jc w:val="both"/>
        <w:rPr>
          <w:rFonts w:ascii="Times New Roman" w:hAnsi="Times New Roman" w:cs="Times New Roman"/>
          <w:sz w:val="24"/>
          <w:szCs w:val="24"/>
        </w:rPr>
      </w:pPr>
    </w:p>
    <w:p w14:paraId="11ADA8AB" w14:textId="27C59EFC"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Finalmente, para la segunda década del siglo</w:t>
      </w:r>
      <w:r w:rsidR="00407553" w:rsidRPr="006F14E7">
        <w:rPr>
          <w:rFonts w:ascii="Times New Roman" w:hAnsi="Times New Roman" w:cs="Times New Roman"/>
          <w:sz w:val="24"/>
          <w:szCs w:val="24"/>
        </w:rPr>
        <w:t xml:space="preserve"> XXI</w:t>
      </w:r>
      <w:r w:rsidRPr="006F14E7">
        <w:rPr>
          <w:rFonts w:ascii="Times New Roman" w:hAnsi="Times New Roman" w:cs="Times New Roman"/>
          <w:sz w:val="24"/>
          <w:szCs w:val="24"/>
        </w:rPr>
        <w:t>, el 46.2% de la población vivió en condiciones de pobreza, es decir, casi la mitad de la población mexicana no dispuso de ingresos suficientes para satisfacer sus necesidades</w:t>
      </w:r>
      <w:r w:rsidR="00407553" w:rsidRPr="006F14E7">
        <w:rPr>
          <w:rFonts w:ascii="Times New Roman" w:hAnsi="Times New Roman" w:cs="Times New Roman"/>
          <w:sz w:val="24"/>
          <w:szCs w:val="24"/>
        </w:rPr>
        <w:t xml:space="preserve">, mientras que </w:t>
      </w:r>
      <w:r w:rsidRPr="006F14E7">
        <w:rPr>
          <w:rFonts w:ascii="Times New Roman" w:hAnsi="Times New Roman" w:cs="Times New Roman"/>
          <w:sz w:val="24"/>
          <w:szCs w:val="24"/>
        </w:rPr>
        <w:t>para el año 2018, más de 4 millones</w:t>
      </w:r>
      <w:r w:rsidR="00407553" w:rsidRPr="006F14E7">
        <w:rPr>
          <w:rFonts w:ascii="Times New Roman" w:hAnsi="Times New Roman" w:cs="Times New Roman"/>
          <w:sz w:val="24"/>
          <w:szCs w:val="24"/>
        </w:rPr>
        <w:t xml:space="preserve"> </w:t>
      </w:r>
      <w:r w:rsidRPr="006F14E7">
        <w:rPr>
          <w:rFonts w:ascii="Times New Roman" w:hAnsi="Times New Roman" w:cs="Times New Roman"/>
          <w:sz w:val="24"/>
          <w:szCs w:val="24"/>
        </w:rPr>
        <w:t>tuvieron que mendigar para comer</w:t>
      </w:r>
      <w:r w:rsidRPr="006F14E7">
        <w:rPr>
          <w:rFonts w:ascii="Times New Roman" w:hAnsi="Times New Roman" w:cs="Times New Roman"/>
          <w:sz w:val="24"/>
          <w:szCs w:val="24"/>
          <w:vertAlign w:val="superscript"/>
        </w:rPr>
        <w:t>(</w:t>
      </w:r>
      <w:r w:rsidR="00807679" w:rsidRPr="006F14E7">
        <w:rPr>
          <w:rFonts w:ascii="Times New Roman" w:hAnsi="Times New Roman" w:cs="Times New Roman"/>
          <w:sz w:val="24"/>
          <w:szCs w:val="24"/>
          <w:vertAlign w:val="superscript"/>
        </w:rPr>
        <w:t>2</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w:t>
      </w:r>
      <w:r w:rsidR="00407553" w:rsidRPr="006F14E7">
        <w:rPr>
          <w:rFonts w:ascii="Times New Roman" w:hAnsi="Times New Roman" w:cs="Times New Roman"/>
          <w:sz w:val="24"/>
          <w:szCs w:val="24"/>
        </w:rPr>
        <w:t xml:space="preserve">En </w:t>
      </w:r>
      <w:r w:rsidR="003D2C18" w:rsidRPr="006F14E7">
        <w:rPr>
          <w:rFonts w:ascii="Times New Roman" w:hAnsi="Times New Roman" w:cs="Times New Roman"/>
          <w:sz w:val="24"/>
          <w:szCs w:val="24"/>
        </w:rPr>
        <w:t>este contexto</w:t>
      </w:r>
      <w:r w:rsidRPr="006F14E7">
        <w:rPr>
          <w:rFonts w:ascii="Times New Roman" w:hAnsi="Times New Roman" w:cs="Times New Roman"/>
          <w:sz w:val="24"/>
          <w:szCs w:val="24"/>
        </w:rPr>
        <w:t xml:space="preserve"> la fuerza de trabajo de los asalariados se devaluó un 66.5% </w:t>
      </w:r>
      <w:r w:rsidR="00407553" w:rsidRPr="006F14E7">
        <w:rPr>
          <w:rFonts w:ascii="Times New Roman" w:hAnsi="Times New Roman" w:cs="Times New Roman"/>
          <w:sz w:val="24"/>
          <w:szCs w:val="24"/>
        </w:rPr>
        <w:t>(</w:t>
      </w:r>
      <w:r w:rsidRPr="006F14E7">
        <w:rPr>
          <w:rFonts w:ascii="Times New Roman" w:hAnsi="Times New Roman" w:cs="Times New Roman"/>
          <w:sz w:val="24"/>
          <w:szCs w:val="24"/>
        </w:rPr>
        <w:t>entre 1980 y 2018</w:t>
      </w:r>
      <w:proofErr w:type="gramStart"/>
      <w:r w:rsidR="00407553" w:rsidRPr="006F14E7">
        <w:rPr>
          <w:rFonts w:ascii="Times New Roman" w:hAnsi="Times New Roman" w:cs="Times New Roman"/>
          <w:sz w:val="24"/>
          <w:szCs w:val="24"/>
        </w:rPr>
        <w:t>)</w:t>
      </w:r>
      <w:r w:rsidRPr="006F14E7">
        <w:rPr>
          <w:rFonts w:ascii="Times New Roman" w:hAnsi="Times New Roman" w:cs="Times New Roman"/>
          <w:sz w:val="24"/>
          <w:szCs w:val="24"/>
          <w:vertAlign w:val="superscript"/>
        </w:rPr>
        <w:t>(</w:t>
      </w:r>
      <w:proofErr w:type="gramEnd"/>
      <w:r w:rsidR="00807679" w:rsidRPr="006F14E7">
        <w:rPr>
          <w:rFonts w:ascii="Times New Roman" w:hAnsi="Times New Roman" w:cs="Times New Roman"/>
          <w:sz w:val="24"/>
          <w:szCs w:val="24"/>
          <w:vertAlign w:val="superscript"/>
        </w:rPr>
        <w:t>4</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5321A51F" w14:textId="77777777" w:rsidR="005578D7" w:rsidRPr="006F14E7" w:rsidRDefault="005578D7" w:rsidP="009E3B50">
      <w:pPr>
        <w:spacing w:after="0" w:line="240" w:lineRule="auto"/>
        <w:jc w:val="both"/>
        <w:rPr>
          <w:rFonts w:ascii="Times New Roman" w:hAnsi="Times New Roman" w:cs="Times New Roman"/>
          <w:sz w:val="24"/>
          <w:szCs w:val="24"/>
        </w:rPr>
      </w:pPr>
    </w:p>
    <w:p w14:paraId="1877BA99" w14:textId="77777777" w:rsidR="006B38C9" w:rsidRPr="006F14E7" w:rsidRDefault="006B38C9" w:rsidP="009E3B50">
      <w:pPr>
        <w:spacing w:after="0" w:line="240" w:lineRule="auto"/>
        <w:jc w:val="center"/>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078BB1E3" wp14:editId="0DC5176F">
            <wp:extent cx="5377218" cy="1828800"/>
            <wp:effectExtent l="0" t="0" r="13970" b="0"/>
            <wp:docPr id="14" name="Gráfico 1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5074128-D08D-4F97-9665-9B4DE7CA5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3E4C62" w14:textId="250C737C" w:rsidR="006B38C9" w:rsidRPr="006F14E7" w:rsidRDefault="006B38C9" w:rsidP="009E3B50">
      <w:pPr>
        <w:spacing w:after="0" w:line="240" w:lineRule="auto"/>
        <w:jc w:val="both"/>
        <w:rPr>
          <w:rFonts w:ascii="Times New Roman" w:hAnsi="Times New Roman" w:cs="Times New Roman"/>
        </w:rPr>
      </w:pPr>
      <w:r w:rsidRPr="006F14E7">
        <w:rPr>
          <w:rFonts w:ascii="Times New Roman" w:hAnsi="Times New Roman" w:cs="Times New Roman"/>
        </w:rPr>
        <w:t xml:space="preserve"> </w:t>
      </w:r>
      <w:r w:rsidRPr="006F14E7">
        <w:rPr>
          <w:rFonts w:ascii="Times New Roman" w:hAnsi="Times New Roman" w:cs="Times New Roman"/>
          <w:b/>
          <w:bCs/>
        </w:rPr>
        <w:t>Fuente:</w:t>
      </w:r>
      <w:r w:rsidRPr="006F14E7">
        <w:rPr>
          <w:rFonts w:ascii="Times New Roman" w:hAnsi="Times New Roman" w:cs="Times New Roman"/>
        </w:rPr>
        <w:t xml:space="preserve"> Elaboración propia (Botello, 2020) </w:t>
      </w:r>
    </w:p>
    <w:p w14:paraId="25052C69" w14:textId="77777777" w:rsidR="006B38C9" w:rsidRPr="006F14E7" w:rsidRDefault="006B38C9" w:rsidP="009E3B50">
      <w:pPr>
        <w:spacing w:after="0" w:line="240" w:lineRule="auto"/>
        <w:jc w:val="both"/>
        <w:rPr>
          <w:rFonts w:ascii="Times New Roman" w:hAnsi="Times New Roman" w:cs="Times New Roman"/>
          <w:sz w:val="24"/>
          <w:szCs w:val="24"/>
        </w:rPr>
      </w:pPr>
    </w:p>
    <w:p w14:paraId="528585B2" w14:textId="61D47B7C"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En resumen, a lo largo de los 37 años comprendidos entre 1981 a 2018, el poder adquisitivo de las familias del </w:t>
      </w:r>
      <w:proofErr w:type="spellStart"/>
      <w:r w:rsidRPr="006F14E7">
        <w:rPr>
          <w:rFonts w:ascii="Times New Roman" w:hAnsi="Times New Roman" w:cs="Times New Roman"/>
          <w:sz w:val="24"/>
          <w:szCs w:val="24"/>
        </w:rPr>
        <w:t>decil</w:t>
      </w:r>
      <w:proofErr w:type="spellEnd"/>
      <w:r w:rsidRPr="006F14E7">
        <w:rPr>
          <w:rFonts w:ascii="Times New Roman" w:hAnsi="Times New Roman" w:cs="Times New Roman"/>
          <w:sz w:val="24"/>
          <w:szCs w:val="24"/>
        </w:rPr>
        <w:t xml:space="preserve"> </w:t>
      </w:r>
      <w:r w:rsidR="00407553" w:rsidRPr="006F14E7">
        <w:rPr>
          <w:rFonts w:ascii="Times New Roman" w:hAnsi="Times New Roman" w:cs="Times New Roman"/>
          <w:sz w:val="24"/>
          <w:szCs w:val="24"/>
        </w:rPr>
        <w:t>más pobre</w:t>
      </w:r>
      <w:r w:rsidRPr="006F14E7">
        <w:rPr>
          <w:rFonts w:ascii="Times New Roman" w:hAnsi="Times New Roman" w:cs="Times New Roman"/>
          <w:sz w:val="24"/>
          <w:szCs w:val="24"/>
        </w:rPr>
        <w:t xml:space="preserve"> fue 27.92 veces menor al de las familias del </w:t>
      </w:r>
      <w:proofErr w:type="spellStart"/>
      <w:r w:rsidRPr="006F14E7">
        <w:rPr>
          <w:rFonts w:ascii="Times New Roman" w:hAnsi="Times New Roman" w:cs="Times New Roman"/>
          <w:sz w:val="24"/>
          <w:szCs w:val="24"/>
        </w:rPr>
        <w:t>decil</w:t>
      </w:r>
      <w:proofErr w:type="spellEnd"/>
      <w:r w:rsidRPr="006F14E7">
        <w:rPr>
          <w:rFonts w:ascii="Times New Roman" w:hAnsi="Times New Roman" w:cs="Times New Roman"/>
          <w:sz w:val="24"/>
          <w:szCs w:val="24"/>
        </w:rPr>
        <w:t xml:space="preserve"> </w:t>
      </w:r>
      <w:r w:rsidR="00407553" w:rsidRPr="006F14E7">
        <w:rPr>
          <w:rFonts w:ascii="Times New Roman" w:hAnsi="Times New Roman" w:cs="Times New Roman"/>
          <w:sz w:val="24"/>
          <w:szCs w:val="24"/>
        </w:rPr>
        <w:t xml:space="preserve">más </w:t>
      </w:r>
      <w:proofErr w:type="gramStart"/>
      <w:r w:rsidR="00407553" w:rsidRPr="006F14E7">
        <w:rPr>
          <w:rFonts w:ascii="Times New Roman" w:hAnsi="Times New Roman" w:cs="Times New Roman"/>
          <w:sz w:val="24"/>
          <w:szCs w:val="24"/>
        </w:rPr>
        <w:t>rico</w:t>
      </w:r>
      <w:r w:rsidRPr="006F14E7">
        <w:rPr>
          <w:rFonts w:ascii="Times New Roman" w:hAnsi="Times New Roman" w:cs="Times New Roman"/>
          <w:sz w:val="24"/>
          <w:szCs w:val="24"/>
          <w:vertAlign w:val="superscript"/>
        </w:rPr>
        <w:t>(</w:t>
      </w:r>
      <w:proofErr w:type="gramEnd"/>
      <w:r w:rsidR="00807679" w:rsidRPr="006F14E7">
        <w:rPr>
          <w:rFonts w:ascii="Times New Roman" w:hAnsi="Times New Roman" w:cs="Times New Roman"/>
          <w:sz w:val="24"/>
          <w:szCs w:val="24"/>
          <w:vertAlign w:val="superscript"/>
        </w:rPr>
        <w:t>18,26</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w:t>
      </w:r>
    </w:p>
    <w:p w14:paraId="40D129D3" w14:textId="77777777" w:rsidR="009E3B50" w:rsidRPr="006F14E7" w:rsidRDefault="009E3B50" w:rsidP="009E3B50">
      <w:pPr>
        <w:spacing w:after="0" w:line="240" w:lineRule="auto"/>
        <w:jc w:val="both"/>
        <w:rPr>
          <w:rFonts w:ascii="Times New Roman" w:hAnsi="Times New Roman" w:cs="Times New Roman"/>
          <w:sz w:val="24"/>
          <w:szCs w:val="24"/>
        </w:rPr>
      </w:pPr>
    </w:p>
    <w:p w14:paraId="6766D76D" w14:textId="77777777" w:rsidR="006B38C9" w:rsidRPr="006F14E7" w:rsidRDefault="006B38C9" w:rsidP="009E3B50">
      <w:pPr>
        <w:spacing w:after="0" w:line="240" w:lineRule="auto"/>
        <w:jc w:val="both"/>
        <w:rPr>
          <w:rFonts w:ascii="Times New Roman" w:hAnsi="Times New Roman" w:cs="Times New Roman"/>
          <w:sz w:val="24"/>
          <w:szCs w:val="24"/>
        </w:rPr>
      </w:pPr>
    </w:p>
    <w:tbl>
      <w:tblPr>
        <w:tblStyle w:val="Tablaconcuadrcula"/>
        <w:tblW w:w="86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54"/>
        <w:gridCol w:w="855"/>
        <w:gridCol w:w="854"/>
        <w:gridCol w:w="854"/>
        <w:gridCol w:w="854"/>
        <w:gridCol w:w="854"/>
        <w:gridCol w:w="870"/>
        <w:gridCol w:w="870"/>
        <w:gridCol w:w="962"/>
      </w:tblGrid>
      <w:tr w:rsidR="006B38C9" w:rsidRPr="006F14E7" w14:paraId="5B92E8EA" w14:textId="77777777" w:rsidTr="004B1E49">
        <w:trPr>
          <w:trHeight w:val="316"/>
        </w:trPr>
        <w:tc>
          <w:tcPr>
            <w:tcW w:w="8681" w:type="dxa"/>
            <w:gridSpan w:val="10"/>
            <w:tcBorders>
              <w:top w:val="single" w:sz="4" w:space="0" w:color="auto"/>
              <w:bottom w:val="single" w:sz="4" w:space="0" w:color="auto"/>
            </w:tcBorders>
            <w:hideMark/>
          </w:tcPr>
          <w:p w14:paraId="52A69444" w14:textId="037994EC" w:rsidR="006B38C9" w:rsidRPr="006F14E7" w:rsidRDefault="00BB255B" w:rsidP="009E3B50">
            <w:pPr>
              <w:jc w:val="center"/>
              <w:rPr>
                <w:rFonts w:ascii="Times New Roman" w:eastAsiaTheme="minorHAnsi" w:hAnsi="Times New Roman"/>
                <w:b/>
                <w:bCs/>
              </w:rPr>
            </w:pPr>
            <w:r w:rsidRPr="006F14E7">
              <w:rPr>
                <w:rFonts w:ascii="Times New Roman" w:eastAsiaTheme="minorHAnsi" w:hAnsi="Times New Roman"/>
                <w:b/>
                <w:bCs/>
              </w:rPr>
              <w:t>Tabla</w:t>
            </w:r>
            <w:r w:rsidR="00376DFA" w:rsidRPr="006F14E7">
              <w:rPr>
                <w:rFonts w:ascii="Times New Roman" w:eastAsiaTheme="minorHAnsi" w:hAnsi="Times New Roman"/>
                <w:b/>
                <w:bCs/>
              </w:rPr>
              <w:t xml:space="preserve"> </w:t>
            </w:r>
            <w:r w:rsidRPr="006F14E7">
              <w:rPr>
                <w:rFonts w:ascii="Times New Roman" w:eastAsiaTheme="minorHAnsi" w:hAnsi="Times New Roman"/>
                <w:b/>
                <w:bCs/>
              </w:rPr>
              <w:t xml:space="preserve">3. </w:t>
            </w:r>
            <w:r w:rsidR="006B38C9" w:rsidRPr="006F14E7">
              <w:rPr>
                <w:rFonts w:ascii="Times New Roman" w:eastAsiaTheme="minorHAnsi" w:hAnsi="Times New Roman"/>
              </w:rPr>
              <w:t xml:space="preserve">Distribución promedio del ingreso por </w:t>
            </w:r>
            <w:proofErr w:type="spellStart"/>
            <w:r w:rsidR="006B38C9" w:rsidRPr="006F14E7">
              <w:rPr>
                <w:rFonts w:ascii="Times New Roman" w:eastAsiaTheme="minorHAnsi" w:hAnsi="Times New Roman"/>
              </w:rPr>
              <w:t>decil</w:t>
            </w:r>
            <w:proofErr w:type="spellEnd"/>
            <w:r w:rsidR="006B38C9" w:rsidRPr="006F14E7">
              <w:rPr>
                <w:rFonts w:ascii="Times New Roman" w:eastAsiaTheme="minorHAnsi" w:hAnsi="Times New Roman"/>
              </w:rPr>
              <w:t xml:space="preserve"> en México 1981 - 2018</w:t>
            </w:r>
          </w:p>
        </w:tc>
      </w:tr>
      <w:tr w:rsidR="006B38C9" w:rsidRPr="006F14E7" w14:paraId="236C1E1F" w14:textId="77777777" w:rsidTr="004B1E49">
        <w:trPr>
          <w:trHeight w:val="425"/>
        </w:trPr>
        <w:tc>
          <w:tcPr>
            <w:tcW w:w="854" w:type="dxa"/>
            <w:tcBorders>
              <w:top w:val="single" w:sz="4" w:space="0" w:color="auto"/>
            </w:tcBorders>
            <w:hideMark/>
          </w:tcPr>
          <w:p w14:paraId="2DFE4EA6"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I</w:t>
            </w:r>
          </w:p>
        </w:tc>
        <w:tc>
          <w:tcPr>
            <w:tcW w:w="854" w:type="dxa"/>
            <w:tcBorders>
              <w:top w:val="single" w:sz="4" w:space="0" w:color="auto"/>
            </w:tcBorders>
            <w:hideMark/>
          </w:tcPr>
          <w:p w14:paraId="101BF087"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II</w:t>
            </w:r>
          </w:p>
        </w:tc>
        <w:tc>
          <w:tcPr>
            <w:tcW w:w="855" w:type="dxa"/>
            <w:tcBorders>
              <w:top w:val="single" w:sz="4" w:space="0" w:color="auto"/>
            </w:tcBorders>
            <w:hideMark/>
          </w:tcPr>
          <w:p w14:paraId="1AE723B1"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III</w:t>
            </w:r>
          </w:p>
        </w:tc>
        <w:tc>
          <w:tcPr>
            <w:tcW w:w="854" w:type="dxa"/>
            <w:tcBorders>
              <w:top w:val="single" w:sz="4" w:space="0" w:color="auto"/>
            </w:tcBorders>
            <w:hideMark/>
          </w:tcPr>
          <w:p w14:paraId="3050FD11"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VI</w:t>
            </w:r>
          </w:p>
        </w:tc>
        <w:tc>
          <w:tcPr>
            <w:tcW w:w="854" w:type="dxa"/>
            <w:tcBorders>
              <w:top w:val="single" w:sz="4" w:space="0" w:color="auto"/>
            </w:tcBorders>
            <w:hideMark/>
          </w:tcPr>
          <w:p w14:paraId="2E093EC2"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V</w:t>
            </w:r>
          </w:p>
        </w:tc>
        <w:tc>
          <w:tcPr>
            <w:tcW w:w="854" w:type="dxa"/>
            <w:tcBorders>
              <w:top w:val="single" w:sz="4" w:space="0" w:color="auto"/>
            </w:tcBorders>
            <w:hideMark/>
          </w:tcPr>
          <w:p w14:paraId="33B95A31"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VI</w:t>
            </w:r>
          </w:p>
        </w:tc>
        <w:tc>
          <w:tcPr>
            <w:tcW w:w="854" w:type="dxa"/>
            <w:tcBorders>
              <w:top w:val="single" w:sz="4" w:space="0" w:color="auto"/>
            </w:tcBorders>
            <w:hideMark/>
          </w:tcPr>
          <w:p w14:paraId="68C5C8BD"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VII</w:t>
            </w:r>
          </w:p>
        </w:tc>
        <w:tc>
          <w:tcPr>
            <w:tcW w:w="870" w:type="dxa"/>
            <w:tcBorders>
              <w:top w:val="single" w:sz="4" w:space="0" w:color="auto"/>
            </w:tcBorders>
            <w:hideMark/>
          </w:tcPr>
          <w:p w14:paraId="06B2EAAF"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VIII</w:t>
            </w:r>
          </w:p>
        </w:tc>
        <w:tc>
          <w:tcPr>
            <w:tcW w:w="870" w:type="dxa"/>
            <w:tcBorders>
              <w:top w:val="single" w:sz="4" w:space="0" w:color="auto"/>
            </w:tcBorders>
            <w:hideMark/>
          </w:tcPr>
          <w:p w14:paraId="18E1DDE5"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XI</w:t>
            </w:r>
          </w:p>
        </w:tc>
        <w:tc>
          <w:tcPr>
            <w:tcW w:w="958" w:type="dxa"/>
            <w:tcBorders>
              <w:top w:val="single" w:sz="4" w:space="0" w:color="auto"/>
            </w:tcBorders>
            <w:hideMark/>
          </w:tcPr>
          <w:p w14:paraId="2C0A5503"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X</w:t>
            </w:r>
          </w:p>
        </w:tc>
      </w:tr>
      <w:tr w:rsidR="006B38C9" w:rsidRPr="006F14E7" w14:paraId="1B847ACF" w14:textId="77777777" w:rsidTr="004B1E49">
        <w:trPr>
          <w:trHeight w:val="385"/>
        </w:trPr>
        <w:tc>
          <w:tcPr>
            <w:tcW w:w="854" w:type="dxa"/>
            <w:hideMark/>
          </w:tcPr>
          <w:p w14:paraId="05CC506D"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1.4%</w:t>
            </w:r>
          </w:p>
        </w:tc>
        <w:tc>
          <w:tcPr>
            <w:tcW w:w="854" w:type="dxa"/>
            <w:hideMark/>
          </w:tcPr>
          <w:p w14:paraId="0A360BD1"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2.6%</w:t>
            </w:r>
          </w:p>
        </w:tc>
        <w:tc>
          <w:tcPr>
            <w:tcW w:w="855" w:type="dxa"/>
            <w:hideMark/>
          </w:tcPr>
          <w:p w14:paraId="566FF677"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3.5%</w:t>
            </w:r>
          </w:p>
        </w:tc>
        <w:tc>
          <w:tcPr>
            <w:tcW w:w="854" w:type="dxa"/>
            <w:hideMark/>
          </w:tcPr>
          <w:p w14:paraId="204F0D26"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4.5%</w:t>
            </w:r>
          </w:p>
        </w:tc>
        <w:tc>
          <w:tcPr>
            <w:tcW w:w="854" w:type="dxa"/>
            <w:hideMark/>
          </w:tcPr>
          <w:p w14:paraId="13B81D16"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5.6%</w:t>
            </w:r>
          </w:p>
        </w:tc>
        <w:tc>
          <w:tcPr>
            <w:tcW w:w="854" w:type="dxa"/>
            <w:hideMark/>
          </w:tcPr>
          <w:p w14:paraId="194083E6"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7.0%</w:t>
            </w:r>
          </w:p>
        </w:tc>
        <w:tc>
          <w:tcPr>
            <w:tcW w:w="854" w:type="dxa"/>
            <w:hideMark/>
          </w:tcPr>
          <w:p w14:paraId="5B10DD27"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8.8%</w:t>
            </w:r>
          </w:p>
        </w:tc>
        <w:tc>
          <w:tcPr>
            <w:tcW w:w="870" w:type="dxa"/>
            <w:hideMark/>
          </w:tcPr>
          <w:p w14:paraId="31010FC3"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11.3%</w:t>
            </w:r>
          </w:p>
        </w:tc>
        <w:tc>
          <w:tcPr>
            <w:tcW w:w="870" w:type="dxa"/>
            <w:hideMark/>
          </w:tcPr>
          <w:p w14:paraId="10C68994"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15.9%</w:t>
            </w:r>
          </w:p>
        </w:tc>
        <w:tc>
          <w:tcPr>
            <w:tcW w:w="958" w:type="dxa"/>
            <w:hideMark/>
          </w:tcPr>
          <w:p w14:paraId="2B98AF29" w14:textId="77777777" w:rsidR="006B38C9" w:rsidRPr="006F14E7" w:rsidRDefault="006B38C9" w:rsidP="009E3B50">
            <w:pPr>
              <w:jc w:val="center"/>
              <w:rPr>
                <w:rFonts w:ascii="Times New Roman" w:eastAsiaTheme="minorHAnsi" w:hAnsi="Times New Roman"/>
              </w:rPr>
            </w:pPr>
            <w:r w:rsidRPr="006F14E7">
              <w:rPr>
                <w:rFonts w:ascii="Times New Roman" w:eastAsiaTheme="minorHAnsi" w:hAnsi="Times New Roman"/>
              </w:rPr>
              <w:t>39.1%</w:t>
            </w:r>
          </w:p>
        </w:tc>
      </w:tr>
    </w:tbl>
    <w:p w14:paraId="6A3BD2FD" w14:textId="333E4CA2" w:rsidR="003506DB" w:rsidRPr="006F14E7" w:rsidRDefault="006B38C9" w:rsidP="009E3B50">
      <w:pPr>
        <w:spacing w:after="0" w:line="240" w:lineRule="auto"/>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xml:space="preserve"> (</w:t>
      </w:r>
      <w:bookmarkStart w:id="8" w:name="_Hlk51547557"/>
      <w:r w:rsidRPr="006F14E7">
        <w:rPr>
          <w:rFonts w:ascii="Times New Roman" w:hAnsi="Times New Roman" w:cs="Times New Roman"/>
        </w:rPr>
        <w:t>INEGI, 2019b:17</w:t>
      </w:r>
      <w:bookmarkEnd w:id="8"/>
      <w:r w:rsidRPr="006F14E7">
        <w:rPr>
          <w:rFonts w:ascii="Times New Roman" w:hAnsi="Times New Roman" w:cs="Times New Roman"/>
        </w:rPr>
        <w:t>; Cortés, 2013:19)</w:t>
      </w:r>
      <w:r w:rsidR="00B0243D" w:rsidRPr="006F14E7">
        <w:rPr>
          <w:rFonts w:ascii="Times New Roman" w:hAnsi="Times New Roman" w:cs="Times New Roman"/>
        </w:rPr>
        <w:t>.</w:t>
      </w:r>
    </w:p>
    <w:p w14:paraId="780EB98A" w14:textId="60FF8D11" w:rsidR="009E3B50" w:rsidRPr="006F14E7" w:rsidRDefault="009E3B50" w:rsidP="009E3B50">
      <w:pPr>
        <w:spacing w:after="0" w:line="240" w:lineRule="auto"/>
        <w:rPr>
          <w:rFonts w:ascii="Times New Roman" w:hAnsi="Times New Roman" w:cs="Times New Roman"/>
        </w:rPr>
      </w:pPr>
    </w:p>
    <w:p w14:paraId="46D3B86A" w14:textId="77777777" w:rsidR="00A85EB1" w:rsidRDefault="00A85EB1" w:rsidP="009E3B50">
      <w:pPr>
        <w:spacing w:after="0" w:line="240" w:lineRule="auto"/>
        <w:rPr>
          <w:rFonts w:ascii="Times New Roman" w:hAnsi="Times New Roman" w:cs="Times New Roman"/>
        </w:rPr>
      </w:pPr>
    </w:p>
    <w:p w14:paraId="11745835" w14:textId="77777777" w:rsidR="004B1E49" w:rsidRPr="006F14E7" w:rsidRDefault="004B1E49" w:rsidP="009E3B50">
      <w:pPr>
        <w:spacing w:after="0" w:line="240" w:lineRule="auto"/>
        <w:rPr>
          <w:rFonts w:ascii="Times New Roman" w:hAnsi="Times New Roman" w:cs="Times New Roman"/>
        </w:rPr>
      </w:pPr>
    </w:p>
    <w:p w14:paraId="6E5B1639" w14:textId="34165348" w:rsidR="006B38C9" w:rsidRPr="006F14E7" w:rsidRDefault="006B38C9" w:rsidP="009E3B50">
      <w:pPr>
        <w:pStyle w:val="Prrafodelista"/>
        <w:numPr>
          <w:ilvl w:val="0"/>
          <w:numId w:val="21"/>
        </w:numPr>
        <w:spacing w:after="0" w:line="240" w:lineRule="auto"/>
        <w:rPr>
          <w:rFonts w:ascii="Times New Roman" w:eastAsia="Times New Roman" w:hAnsi="Times New Roman" w:cs="Times New Roman"/>
          <w:b/>
          <w:bCs/>
          <w:color w:val="000000" w:themeColor="text1"/>
          <w:sz w:val="24"/>
          <w:szCs w:val="24"/>
          <w:shd w:val="clear" w:color="auto" w:fill="FFFFFF"/>
        </w:rPr>
      </w:pPr>
      <w:r w:rsidRPr="006F14E7">
        <w:rPr>
          <w:rFonts w:ascii="Times New Roman" w:eastAsia="Times New Roman" w:hAnsi="Times New Roman" w:cs="Times New Roman"/>
          <w:b/>
          <w:bCs/>
          <w:color w:val="000000" w:themeColor="text1"/>
          <w:sz w:val="24"/>
          <w:szCs w:val="24"/>
          <w:shd w:val="clear" w:color="auto" w:fill="FFFFFF"/>
        </w:rPr>
        <w:lastRenderedPageBreak/>
        <w:t>Carencia por acceso a servicios de salud</w:t>
      </w:r>
    </w:p>
    <w:p w14:paraId="7435E301" w14:textId="083195F6" w:rsidR="00EA6748" w:rsidRPr="006F14E7" w:rsidRDefault="006B38C9" w:rsidP="009E3B50">
      <w:pPr>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Como antecedente general, </w:t>
      </w:r>
      <w:r w:rsidRPr="006F14E7">
        <w:rPr>
          <w:rFonts w:ascii="Times New Roman" w:eastAsia="Times New Roman" w:hAnsi="Times New Roman" w:cs="Times New Roman"/>
          <w:color w:val="000000" w:themeColor="text1"/>
          <w:sz w:val="24"/>
          <w:szCs w:val="24"/>
          <w:shd w:val="clear" w:color="auto" w:fill="FFFFFF"/>
        </w:rPr>
        <w:t>las reformas a la salud de primera generación se dieron con</w:t>
      </w:r>
      <w:r w:rsidRPr="006F14E7">
        <w:rPr>
          <w:rFonts w:ascii="Times New Roman" w:hAnsi="Times New Roman" w:cs="Times New Roman"/>
          <w:color w:val="000000" w:themeColor="text1"/>
          <w:sz w:val="24"/>
          <w:szCs w:val="24"/>
          <w:shd w:val="clear" w:color="auto" w:fill="FFFFFF"/>
        </w:rPr>
        <w:t xml:space="preserve"> la </w:t>
      </w:r>
      <w:r w:rsidRPr="006F14E7">
        <w:rPr>
          <w:rFonts w:ascii="Times New Roman" w:eastAsia="Times New Roman" w:hAnsi="Times New Roman" w:cs="Times New Roman"/>
          <w:color w:val="000000" w:themeColor="text1"/>
          <w:sz w:val="24"/>
          <w:szCs w:val="24"/>
          <w:shd w:val="clear" w:color="auto" w:fill="FFFFFF"/>
        </w:rPr>
        <w:t xml:space="preserve">fundación de la Secretaría de Salubridad y Asistencia (SSA), a través de un decreto constitucional </w:t>
      </w:r>
      <w:r w:rsidRPr="006F14E7">
        <w:rPr>
          <w:rFonts w:ascii="Times New Roman" w:hAnsi="Times New Roman" w:cs="Times New Roman"/>
          <w:sz w:val="24"/>
          <w:szCs w:val="24"/>
        </w:rPr>
        <w:t>firmado en 1943</w:t>
      </w:r>
      <w:r w:rsidRPr="006F14E7">
        <w:rPr>
          <w:rFonts w:ascii="Times New Roman" w:eastAsia="Times New Roman" w:hAnsi="Times New Roman" w:cs="Times New Roman"/>
          <w:color w:val="000000" w:themeColor="text1"/>
          <w:sz w:val="24"/>
          <w:szCs w:val="24"/>
          <w:shd w:val="clear" w:color="auto" w:fill="FFFFFF"/>
        </w:rPr>
        <w:t xml:space="preserve">, en el que </w:t>
      </w:r>
      <w:r w:rsidRPr="006F14E7">
        <w:rPr>
          <w:rFonts w:ascii="Times New Roman" w:hAnsi="Times New Roman" w:cs="Times New Roman"/>
          <w:sz w:val="24"/>
          <w:szCs w:val="24"/>
        </w:rPr>
        <w:t>se determinó como primera misión del Estado mexicano “proteger al ciudadano contra los males que puedan lesionar y aún destruir su existencia”</w:t>
      </w:r>
      <w:r w:rsidRPr="006F14E7">
        <w:rPr>
          <w:rFonts w:ascii="Times New Roman" w:hAnsi="Times New Roman" w:cs="Times New Roman"/>
          <w:sz w:val="24"/>
          <w:szCs w:val="24"/>
          <w:vertAlign w:val="superscript"/>
        </w:rPr>
        <w:t>(</w:t>
      </w:r>
      <w:r w:rsidR="00760CD3" w:rsidRPr="006F14E7">
        <w:rPr>
          <w:rFonts w:ascii="Times New Roman" w:hAnsi="Times New Roman" w:cs="Times New Roman"/>
          <w:sz w:val="24"/>
          <w:szCs w:val="24"/>
          <w:vertAlign w:val="superscript"/>
        </w:rPr>
        <w:t>27</w:t>
      </w:r>
      <w:r w:rsidRPr="006F14E7">
        <w:rPr>
          <w:rFonts w:ascii="Times New Roman" w:hAnsi="Times New Roman" w:cs="Times New Roman"/>
          <w:sz w:val="24"/>
          <w:szCs w:val="24"/>
          <w:vertAlign w:val="superscript"/>
        </w:rPr>
        <w:t>)</w:t>
      </w:r>
      <w:r w:rsidRPr="006F14E7">
        <w:rPr>
          <w:rFonts w:ascii="Times New Roman" w:eastAsia="Times New Roman" w:hAnsi="Times New Roman" w:cs="Times New Roman"/>
          <w:color w:val="000000" w:themeColor="text1"/>
          <w:sz w:val="24"/>
          <w:szCs w:val="24"/>
          <w:shd w:val="clear" w:color="auto" w:fill="FFFFFF"/>
        </w:rPr>
        <w:t>. Mientras que 40 años después, en el año 1983 sucedieron las reformas a la salud de segunda generación, al</w:t>
      </w:r>
      <w:r w:rsidRPr="006F14E7">
        <w:rPr>
          <w:rFonts w:ascii="Times New Roman" w:hAnsi="Times New Roman" w:cs="Times New Roman"/>
          <w:color w:val="000000" w:themeColor="text1"/>
          <w:sz w:val="24"/>
          <w:szCs w:val="24"/>
          <w:shd w:val="clear" w:color="auto" w:fill="FFFFFF"/>
        </w:rPr>
        <w:t xml:space="preserve"> decretarse el derecho a la salud como garantía individual, el cual quedó inscrito en el Artículo 4º constitucional: “Toda persona tiene derecho a la protección de la salud”</w:t>
      </w:r>
      <w:r w:rsidR="005C7F72" w:rsidRPr="006F14E7">
        <w:rPr>
          <w:rFonts w:ascii="Times New Roman" w:hAnsi="Times New Roman" w:cs="Times New Roman"/>
          <w:color w:val="000000" w:themeColor="text1"/>
          <w:sz w:val="24"/>
          <w:szCs w:val="24"/>
          <w:shd w:val="clear" w:color="auto" w:fill="FFFFFF"/>
          <w:vertAlign w:val="superscript"/>
        </w:rPr>
        <w:t>(20)</w:t>
      </w:r>
      <w:r w:rsidRPr="006F14E7">
        <w:rPr>
          <w:rFonts w:ascii="Times New Roman" w:hAnsi="Times New Roman" w:cs="Times New Roman"/>
          <w:color w:val="000000" w:themeColor="text1"/>
          <w:sz w:val="24"/>
          <w:szCs w:val="24"/>
          <w:shd w:val="clear" w:color="auto" w:fill="FFFFFF"/>
        </w:rPr>
        <w:t xml:space="preserve">. En ese mismo año el </w:t>
      </w:r>
      <w:r w:rsidR="00FB4E91" w:rsidRPr="006F14E7">
        <w:rPr>
          <w:rFonts w:ascii="Times New Roman" w:hAnsi="Times New Roman" w:cs="Times New Roman"/>
          <w:color w:val="000000" w:themeColor="text1"/>
          <w:sz w:val="24"/>
          <w:szCs w:val="24"/>
          <w:shd w:val="clear" w:color="auto" w:fill="FFFFFF"/>
        </w:rPr>
        <w:t>secretario</w:t>
      </w:r>
      <w:r w:rsidRPr="006F14E7">
        <w:rPr>
          <w:rFonts w:ascii="Times New Roman" w:hAnsi="Times New Roman" w:cs="Times New Roman"/>
          <w:color w:val="000000" w:themeColor="text1"/>
          <w:sz w:val="24"/>
          <w:szCs w:val="24"/>
          <w:shd w:val="clear" w:color="auto" w:fill="FFFFFF"/>
        </w:rPr>
        <w:t xml:space="preserve"> de </w:t>
      </w:r>
      <w:r w:rsidR="00FB4E91" w:rsidRPr="006F14E7">
        <w:rPr>
          <w:rFonts w:ascii="Times New Roman" w:hAnsi="Times New Roman" w:cs="Times New Roman"/>
          <w:color w:val="000000" w:themeColor="text1"/>
          <w:sz w:val="24"/>
          <w:szCs w:val="24"/>
          <w:shd w:val="clear" w:color="auto" w:fill="FFFFFF"/>
        </w:rPr>
        <w:t>s</w:t>
      </w:r>
      <w:r w:rsidRPr="006F14E7">
        <w:rPr>
          <w:rFonts w:ascii="Times New Roman" w:hAnsi="Times New Roman" w:cs="Times New Roman"/>
          <w:color w:val="000000" w:themeColor="text1"/>
          <w:sz w:val="24"/>
          <w:szCs w:val="24"/>
          <w:shd w:val="clear" w:color="auto" w:fill="FFFFFF"/>
        </w:rPr>
        <w:t xml:space="preserve">alud, Guillermo </w:t>
      </w:r>
      <w:proofErr w:type="spellStart"/>
      <w:r w:rsidRPr="006F14E7">
        <w:rPr>
          <w:rFonts w:ascii="Times New Roman" w:hAnsi="Times New Roman" w:cs="Times New Roman"/>
          <w:color w:val="000000" w:themeColor="text1"/>
          <w:sz w:val="24"/>
          <w:szCs w:val="24"/>
          <w:shd w:val="clear" w:color="auto" w:fill="FFFFFF"/>
        </w:rPr>
        <w:t>Soberón</w:t>
      </w:r>
      <w:proofErr w:type="spellEnd"/>
      <w:r w:rsidRPr="006F14E7">
        <w:rPr>
          <w:rFonts w:ascii="Times New Roman" w:hAnsi="Times New Roman" w:cs="Times New Roman"/>
          <w:color w:val="000000" w:themeColor="text1"/>
          <w:sz w:val="24"/>
          <w:szCs w:val="24"/>
          <w:shd w:val="clear" w:color="auto" w:fill="FFFFFF"/>
        </w:rPr>
        <w:t xml:space="preserve"> Acevedo, inscribió en el Programa Nacional de Salud 1983-1989 </w:t>
      </w:r>
      <w:r w:rsidR="00B00256" w:rsidRPr="006F14E7">
        <w:rPr>
          <w:rFonts w:ascii="Times New Roman" w:hAnsi="Times New Roman" w:cs="Times New Roman"/>
          <w:color w:val="000000" w:themeColor="text1"/>
          <w:sz w:val="24"/>
          <w:szCs w:val="24"/>
          <w:shd w:val="clear" w:color="auto" w:fill="FFFFFF"/>
        </w:rPr>
        <w:t>la adopción</w:t>
      </w:r>
      <w:r w:rsidRPr="006F14E7">
        <w:rPr>
          <w:rFonts w:ascii="Times New Roman" w:hAnsi="Times New Roman" w:cs="Times New Roman"/>
          <w:color w:val="000000" w:themeColor="text1"/>
          <w:sz w:val="24"/>
          <w:szCs w:val="24"/>
          <w:shd w:val="clear" w:color="auto" w:fill="FFFFFF"/>
        </w:rPr>
        <w:t xml:space="preserve"> de la Organización Mundial de la Salud (OMS), plasmada en la Declaración de Alma-Ata, la cual tuvo lugar en la extinta Unión de Repúblicas Socialistas Soviéticas (URSS) en septiembre de 1978</w:t>
      </w:r>
      <w:r w:rsidRPr="006F14E7">
        <w:rPr>
          <w:rFonts w:ascii="Times New Roman" w:hAnsi="Times New Roman" w:cs="Times New Roman"/>
          <w:color w:val="000000" w:themeColor="text1"/>
          <w:sz w:val="24"/>
          <w:szCs w:val="24"/>
          <w:shd w:val="clear" w:color="auto" w:fill="FFFFFF"/>
          <w:vertAlign w:val="superscript"/>
        </w:rPr>
        <w:t>(</w:t>
      </w:r>
      <w:r w:rsidR="00760CD3" w:rsidRPr="006F14E7">
        <w:rPr>
          <w:rFonts w:ascii="Times New Roman" w:hAnsi="Times New Roman" w:cs="Times New Roman"/>
          <w:color w:val="000000" w:themeColor="text1"/>
          <w:sz w:val="24"/>
          <w:szCs w:val="24"/>
          <w:shd w:val="clear" w:color="auto" w:fill="FFFFFF"/>
          <w:vertAlign w:val="superscript"/>
        </w:rPr>
        <w:t>29</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p>
    <w:p w14:paraId="480D14C3" w14:textId="77777777" w:rsidR="00411BC8" w:rsidRPr="006F14E7" w:rsidRDefault="00411BC8" w:rsidP="009E3B50">
      <w:pPr>
        <w:spacing w:after="0" w:line="240" w:lineRule="auto"/>
        <w:jc w:val="both"/>
        <w:rPr>
          <w:rFonts w:ascii="Times New Roman" w:hAnsi="Times New Roman" w:cs="Times New Roman"/>
          <w:color w:val="000000" w:themeColor="text1"/>
          <w:sz w:val="24"/>
          <w:szCs w:val="24"/>
          <w:shd w:val="clear" w:color="auto" w:fill="FFFFFF"/>
        </w:rPr>
      </w:pPr>
    </w:p>
    <w:p w14:paraId="7A0F3435" w14:textId="44AF2256" w:rsidR="006B38C9" w:rsidRPr="006F14E7" w:rsidRDefault="006B38C9" w:rsidP="009E3B50">
      <w:pPr>
        <w:spacing w:after="0" w:line="240" w:lineRule="auto"/>
        <w:ind w:left="708"/>
        <w:jc w:val="both"/>
        <w:rPr>
          <w:rFonts w:ascii="Times New Roman" w:hAnsi="Times New Roman" w:cs="Times New Roman"/>
          <w:i/>
          <w:iCs/>
          <w:color w:val="000000" w:themeColor="text1"/>
          <w:sz w:val="24"/>
          <w:szCs w:val="24"/>
          <w:shd w:val="clear" w:color="auto" w:fill="FFFFFF"/>
        </w:rPr>
      </w:pPr>
      <w:r w:rsidRPr="006F14E7">
        <w:rPr>
          <w:rFonts w:ascii="Times New Roman" w:hAnsi="Times New Roman" w:cs="Times New Roman"/>
          <w:i/>
          <w:iCs/>
          <w:color w:val="000000" w:themeColor="text1"/>
          <w:sz w:val="24"/>
          <w:szCs w:val="24"/>
          <w:shd w:val="clear" w:color="auto" w:fill="FFFFFF"/>
        </w:rPr>
        <w:t>“La Conferencia reitera firmemente que la salud, estado de completo bienestar físico, mental y social, y no solamente la ausencia de afecciones o enfermedades es un derecho humano fundamental, (…) cuya realización exige la intervención de muchos otros sectores sociales y económicos, además del de la salud”</w:t>
      </w:r>
      <w:r w:rsidR="00760CD3" w:rsidRPr="006F14E7">
        <w:rPr>
          <w:rFonts w:ascii="Times New Roman" w:hAnsi="Times New Roman" w:cs="Times New Roman"/>
          <w:i/>
          <w:iCs/>
          <w:color w:val="000000" w:themeColor="text1"/>
          <w:sz w:val="24"/>
          <w:szCs w:val="24"/>
          <w:shd w:val="clear" w:color="auto" w:fill="FFFFFF"/>
          <w:vertAlign w:val="superscript"/>
        </w:rPr>
        <w:t xml:space="preserve"> (29</w:t>
      </w:r>
      <w:r w:rsidRPr="006F14E7">
        <w:rPr>
          <w:rFonts w:ascii="Times New Roman" w:hAnsi="Times New Roman" w:cs="Times New Roman"/>
          <w:i/>
          <w:iCs/>
          <w:color w:val="000000" w:themeColor="text1"/>
          <w:sz w:val="24"/>
          <w:szCs w:val="24"/>
          <w:shd w:val="clear" w:color="auto" w:fill="FFFFFF"/>
          <w:vertAlign w:val="superscript"/>
        </w:rPr>
        <w:t>)</w:t>
      </w:r>
      <w:r w:rsidRPr="006F14E7">
        <w:rPr>
          <w:rFonts w:ascii="Times New Roman" w:hAnsi="Times New Roman" w:cs="Times New Roman"/>
          <w:i/>
          <w:iCs/>
          <w:color w:val="000000" w:themeColor="text1"/>
          <w:sz w:val="24"/>
          <w:szCs w:val="24"/>
          <w:shd w:val="clear" w:color="auto" w:fill="FFFFFF"/>
        </w:rPr>
        <w:t>.</w:t>
      </w:r>
    </w:p>
    <w:p w14:paraId="3452DD40"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i/>
          <w:iCs/>
          <w:color w:val="000000" w:themeColor="text1"/>
          <w:sz w:val="24"/>
          <w:szCs w:val="24"/>
          <w:shd w:val="clear" w:color="auto" w:fill="FFFFFF"/>
        </w:rPr>
      </w:pPr>
    </w:p>
    <w:p w14:paraId="4344CDDD" w14:textId="29A8F6DB" w:rsidR="006B38C9" w:rsidRPr="006F14E7" w:rsidRDefault="00B00256"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En este </w:t>
      </w:r>
      <w:r w:rsidR="00FE75F9" w:rsidRPr="006F14E7">
        <w:rPr>
          <w:rFonts w:ascii="Times New Roman" w:hAnsi="Times New Roman" w:cs="Times New Roman"/>
          <w:color w:val="000000" w:themeColor="text1"/>
          <w:sz w:val="24"/>
          <w:szCs w:val="24"/>
          <w:shd w:val="clear" w:color="auto" w:fill="FFFFFF"/>
        </w:rPr>
        <w:t>contexto</w:t>
      </w:r>
      <w:r w:rsidR="006B38C9" w:rsidRPr="006F14E7">
        <w:rPr>
          <w:rFonts w:ascii="Times New Roman" w:hAnsi="Times New Roman" w:cs="Times New Roman"/>
          <w:color w:val="000000" w:themeColor="text1"/>
          <w:sz w:val="24"/>
          <w:szCs w:val="24"/>
          <w:shd w:val="clear" w:color="auto" w:fill="FFFFFF"/>
        </w:rPr>
        <w:t xml:space="preserve">, en 1983 solo el 45% de la población mexicana (34.3 millones) se encontró afiliada a alguna institución de seguridad </w:t>
      </w:r>
      <w:proofErr w:type="gramStart"/>
      <w:r w:rsidR="006B38C9" w:rsidRPr="006F14E7">
        <w:rPr>
          <w:rFonts w:ascii="Times New Roman" w:hAnsi="Times New Roman" w:cs="Times New Roman"/>
          <w:color w:val="000000" w:themeColor="text1"/>
          <w:sz w:val="24"/>
          <w:szCs w:val="24"/>
          <w:shd w:val="clear" w:color="auto" w:fill="FFFFFF"/>
        </w:rPr>
        <w:t>social</w:t>
      </w:r>
      <w:r w:rsidR="006B38C9"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sz w:val="24"/>
          <w:szCs w:val="24"/>
          <w:shd w:val="clear" w:color="auto" w:fill="FFFFFF"/>
          <w:vertAlign w:val="superscript"/>
        </w:rPr>
        <w:t>30</w:t>
      </w:r>
      <w:r w:rsidR="006B38C9" w:rsidRPr="006F14E7">
        <w:rPr>
          <w:rFonts w:ascii="Times New Roman" w:hAnsi="Times New Roman" w:cs="Times New Roman"/>
          <w:sz w:val="24"/>
          <w:szCs w:val="24"/>
          <w:shd w:val="clear" w:color="auto" w:fill="FFFFFF"/>
          <w:vertAlign w:val="superscript"/>
        </w:rPr>
        <w:t>)</w:t>
      </w:r>
      <w:r w:rsidR="0080587D" w:rsidRPr="006F14E7">
        <w:rPr>
          <w:rFonts w:ascii="Times New Roman" w:hAnsi="Times New Roman" w:cs="Times New Roman"/>
          <w:sz w:val="24"/>
          <w:szCs w:val="24"/>
          <w:shd w:val="clear" w:color="auto" w:fill="FFFFFF"/>
        </w:rPr>
        <w:t>,</w:t>
      </w:r>
      <w:r w:rsidR="0080587D" w:rsidRPr="006F14E7">
        <w:rPr>
          <w:rFonts w:ascii="Times New Roman" w:hAnsi="Times New Roman" w:cs="Times New Roman"/>
          <w:color w:val="000000" w:themeColor="text1"/>
          <w:sz w:val="24"/>
          <w:szCs w:val="24"/>
          <w:shd w:val="clear" w:color="auto" w:fill="FFFFFF"/>
        </w:rPr>
        <w:t xml:space="preserve"> mientras que</w:t>
      </w:r>
      <w:r w:rsidR="006B38C9" w:rsidRPr="006F14E7">
        <w:rPr>
          <w:rFonts w:ascii="Times New Roman" w:hAnsi="Times New Roman" w:cs="Times New Roman"/>
          <w:color w:val="000000" w:themeColor="text1"/>
          <w:sz w:val="24"/>
          <w:szCs w:val="24"/>
          <w:shd w:val="clear" w:color="auto" w:fill="FFFFFF"/>
        </w:rPr>
        <w:t xml:space="preserve"> la población abierta, representó “un total de 38 millones de</w:t>
      </w:r>
      <w:r w:rsidR="006B38C9" w:rsidRPr="006F14E7">
        <w:rPr>
          <w:rFonts w:ascii="Times New Roman" w:hAnsi="Times New Roman" w:cs="Times New Roman"/>
          <w:sz w:val="24"/>
          <w:szCs w:val="24"/>
        </w:rPr>
        <w:t xml:space="preserve"> personas, de </w:t>
      </w:r>
      <w:r w:rsidR="00376DFA" w:rsidRPr="006F14E7">
        <w:rPr>
          <w:rFonts w:ascii="Times New Roman" w:hAnsi="Times New Roman" w:cs="Times New Roman"/>
          <w:sz w:val="24"/>
          <w:szCs w:val="24"/>
        </w:rPr>
        <w:t>e</w:t>
      </w:r>
      <w:r w:rsidR="006B38C9" w:rsidRPr="006F14E7">
        <w:rPr>
          <w:rFonts w:ascii="Times New Roman" w:hAnsi="Times New Roman" w:cs="Times New Roman"/>
          <w:sz w:val="24"/>
          <w:szCs w:val="24"/>
        </w:rPr>
        <w:t xml:space="preserve">ste se estimó que en 1983 la SSA cubrió a 13 millones de </w:t>
      </w:r>
      <w:r w:rsidR="006B38C9" w:rsidRPr="006F14E7">
        <w:rPr>
          <w:rFonts w:ascii="Times New Roman" w:hAnsi="Times New Roman" w:cs="Times New Roman"/>
          <w:color w:val="000000" w:themeColor="text1"/>
          <w:sz w:val="24"/>
          <w:szCs w:val="24"/>
          <w:shd w:val="clear" w:color="auto" w:fill="FFFFFF"/>
        </w:rPr>
        <w:t>personas, (…) en tanto que el IMSS-COPLAMAR atendió a otros 11 millones”</w:t>
      </w:r>
      <w:r w:rsidR="006B38C9" w:rsidRPr="006F14E7">
        <w:rPr>
          <w:rFonts w:ascii="Times New Roman" w:hAnsi="Times New Roman" w:cs="Times New Roman"/>
          <w:color w:val="000000" w:themeColor="text1"/>
          <w:sz w:val="24"/>
          <w:szCs w:val="24"/>
          <w:shd w:val="clear" w:color="auto" w:fill="FFFFFF"/>
          <w:vertAlign w:val="superscript"/>
        </w:rPr>
        <w:t>(</w:t>
      </w:r>
      <w:r w:rsidR="00760CD3" w:rsidRPr="006F14E7">
        <w:rPr>
          <w:rFonts w:ascii="Times New Roman" w:hAnsi="Times New Roman" w:cs="Times New Roman"/>
          <w:color w:val="000000" w:themeColor="text1"/>
          <w:sz w:val="24"/>
          <w:szCs w:val="24"/>
          <w:shd w:val="clear" w:color="auto" w:fill="FFFFFF"/>
          <w:vertAlign w:val="superscript"/>
        </w:rPr>
        <w:t>30</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 xml:space="preserve">. Por su parte, la atención médica privada atendió al 5%. Es decir, 14 millones de mexicanos carecieron de acceso efectivo a cualquier servicio institucional de </w:t>
      </w:r>
      <w:proofErr w:type="gramStart"/>
      <w:r w:rsidR="006B38C9" w:rsidRPr="006F14E7">
        <w:rPr>
          <w:rFonts w:ascii="Times New Roman" w:hAnsi="Times New Roman" w:cs="Times New Roman"/>
          <w:color w:val="000000" w:themeColor="text1"/>
          <w:sz w:val="24"/>
          <w:szCs w:val="24"/>
          <w:shd w:val="clear" w:color="auto" w:fill="FFFFFF"/>
        </w:rPr>
        <w:t>salud</w:t>
      </w:r>
      <w:r w:rsidR="00760CD3"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30</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w:t>
      </w:r>
    </w:p>
    <w:p w14:paraId="419A74CC"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258DCB2A" w14:textId="6CA1800B" w:rsidR="006B38C9"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Posteriormente, según el diagnóstico realizado por el Programa Nacional de Salud 1989-1994,  el 94% de </w:t>
      </w:r>
      <w:r w:rsidR="00BA4B42" w:rsidRPr="006F14E7">
        <w:rPr>
          <w:rFonts w:ascii="Times New Roman" w:hAnsi="Times New Roman" w:cs="Times New Roman"/>
          <w:color w:val="000000" w:themeColor="text1"/>
          <w:sz w:val="24"/>
          <w:szCs w:val="24"/>
          <w:shd w:val="clear" w:color="auto" w:fill="FFFFFF"/>
        </w:rPr>
        <w:t>la población</w:t>
      </w:r>
      <w:r w:rsidRPr="006F14E7">
        <w:rPr>
          <w:rFonts w:ascii="Times New Roman" w:hAnsi="Times New Roman" w:cs="Times New Roman"/>
          <w:color w:val="000000" w:themeColor="text1"/>
          <w:sz w:val="24"/>
          <w:szCs w:val="24"/>
          <w:shd w:val="clear" w:color="auto" w:fill="FFFFFF"/>
        </w:rPr>
        <w:t xml:space="preserve"> mexicana contó con algún tipo de cobertura por parte de los servicios de salud en el año 1989, es decir, la población usuaria creció el 50% (54.6% de alguna institución de seguridad social, 35.1% atendida por instituciones para población abierta y 4.3% por los servicios privados), no obstante, también señaló que un 6% de la población no tuvo acceso a servicios de salud</w:t>
      </w:r>
      <w:r w:rsidRPr="006F14E7">
        <w:rPr>
          <w:rFonts w:ascii="Times New Roman" w:hAnsi="Times New Roman" w:cs="Times New Roman"/>
          <w:color w:val="000000" w:themeColor="text1"/>
          <w:sz w:val="24"/>
          <w:szCs w:val="24"/>
          <w:shd w:val="clear" w:color="auto" w:fill="FFFFFF"/>
          <w:vertAlign w:val="superscript"/>
        </w:rPr>
        <w:t>(</w:t>
      </w:r>
      <w:r w:rsidR="00760CD3" w:rsidRPr="006F14E7">
        <w:rPr>
          <w:rFonts w:ascii="Times New Roman" w:hAnsi="Times New Roman" w:cs="Times New Roman"/>
          <w:color w:val="000000" w:themeColor="text1"/>
          <w:sz w:val="24"/>
          <w:szCs w:val="24"/>
          <w:shd w:val="clear" w:color="auto" w:fill="FFFFFF"/>
          <w:vertAlign w:val="superscript"/>
        </w:rPr>
        <w:t>31</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r w:rsidR="00FE75F9" w:rsidRPr="006F14E7">
        <w:rPr>
          <w:rFonts w:ascii="Times New Roman" w:hAnsi="Times New Roman" w:cs="Times New Roman"/>
          <w:color w:val="000000" w:themeColor="text1"/>
          <w:sz w:val="24"/>
          <w:szCs w:val="24"/>
          <w:shd w:val="clear" w:color="auto" w:fill="FFFFFF"/>
        </w:rPr>
        <w:t xml:space="preserve"> Cabe mencionar que </w:t>
      </w:r>
      <w:r w:rsidRPr="006F14E7">
        <w:rPr>
          <w:rFonts w:ascii="Times New Roman" w:hAnsi="Times New Roman" w:cs="Times New Roman"/>
          <w:color w:val="000000" w:themeColor="text1"/>
          <w:sz w:val="24"/>
          <w:szCs w:val="24"/>
          <w:shd w:val="clear" w:color="auto" w:fill="FFFFFF"/>
        </w:rPr>
        <w:t xml:space="preserve">el sector médico privado, representó ya desde 1983, aproximadamente el 20% de las instituciones hospitalarias del país y el 25% del total de camas del sector </w:t>
      </w:r>
      <w:proofErr w:type="gramStart"/>
      <w:r w:rsidRPr="006F14E7">
        <w:rPr>
          <w:rFonts w:ascii="Times New Roman" w:hAnsi="Times New Roman" w:cs="Times New Roman"/>
          <w:color w:val="000000" w:themeColor="text1"/>
          <w:sz w:val="24"/>
          <w:szCs w:val="24"/>
          <w:shd w:val="clear" w:color="auto" w:fill="FFFFFF"/>
        </w:rPr>
        <w:t>público</w:t>
      </w:r>
      <w:r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30</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Además de mencionar que la medicina privada atendió aproximadamente al 5% de la población </w:t>
      </w:r>
      <w:proofErr w:type="gramStart"/>
      <w:r w:rsidRPr="006F14E7">
        <w:rPr>
          <w:rFonts w:ascii="Times New Roman" w:hAnsi="Times New Roman" w:cs="Times New Roman"/>
          <w:color w:val="000000" w:themeColor="text1"/>
          <w:sz w:val="24"/>
          <w:szCs w:val="24"/>
          <w:shd w:val="clear" w:color="auto" w:fill="FFFFFF"/>
        </w:rPr>
        <w:t>total</w:t>
      </w:r>
      <w:r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30</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p>
    <w:p w14:paraId="4BB7C2FA" w14:textId="77777777" w:rsidR="006B38C9" w:rsidRPr="006F14E7" w:rsidRDefault="006B38C9" w:rsidP="009E3B50">
      <w:pPr>
        <w:spacing w:after="0" w:line="240" w:lineRule="auto"/>
        <w:rPr>
          <w:rFonts w:ascii="Times New Roman" w:hAnsi="Times New Roman" w:cs="Times New Roman"/>
          <w:color w:val="000000" w:themeColor="text1"/>
          <w:sz w:val="24"/>
          <w:szCs w:val="24"/>
          <w:shd w:val="clear" w:color="auto" w:fill="FFFFFF"/>
        </w:rPr>
      </w:pPr>
    </w:p>
    <w:p w14:paraId="63BFDDEA" w14:textId="57FFCE41" w:rsidR="006B38C9" w:rsidRPr="006F14E7" w:rsidRDefault="00FE75F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Posteriormente</w:t>
      </w:r>
      <w:r w:rsidR="006B38C9" w:rsidRPr="006F14E7">
        <w:rPr>
          <w:rFonts w:ascii="Times New Roman" w:hAnsi="Times New Roman" w:cs="Times New Roman"/>
          <w:color w:val="000000" w:themeColor="text1"/>
          <w:sz w:val="24"/>
          <w:szCs w:val="24"/>
          <w:shd w:val="clear" w:color="auto" w:fill="FFFFFF"/>
        </w:rPr>
        <w:t>, el Programa Nacional de Salud 1990-1994</w:t>
      </w:r>
      <w:r w:rsidRPr="006F14E7">
        <w:rPr>
          <w:rFonts w:ascii="Times New Roman" w:hAnsi="Times New Roman" w:cs="Times New Roman"/>
          <w:color w:val="000000" w:themeColor="text1"/>
          <w:sz w:val="24"/>
          <w:szCs w:val="24"/>
          <w:shd w:val="clear" w:color="auto" w:fill="FFFFFF"/>
        </w:rPr>
        <w:t>,</w:t>
      </w:r>
      <w:r w:rsidR="006B38C9"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en concordancia con la</w:t>
      </w:r>
      <w:r w:rsidR="006B38C9" w:rsidRPr="006F14E7">
        <w:rPr>
          <w:rFonts w:ascii="Times New Roman" w:hAnsi="Times New Roman" w:cs="Times New Roman"/>
          <w:color w:val="000000" w:themeColor="text1"/>
          <w:sz w:val="24"/>
          <w:szCs w:val="24"/>
          <w:shd w:val="clear" w:color="auto" w:fill="FFFFFF"/>
        </w:rPr>
        <w:t xml:space="preserve"> concepción de salud propuesta por la OMS, buscó desarrollar una coordinación intersectorial de los servicios del Sistema Nacional de Salud con los demás sectores de la vida social a fin de incidir en “los componentes biológicos de los individuos, los efectos del medio ambiente, las condiciones socioeconómicas, los factores del comportamiento humano y la capacidad de respuesta social a los problemas de aqu</w:t>
      </w:r>
      <w:r w:rsidR="00376DFA" w:rsidRPr="006F14E7">
        <w:rPr>
          <w:rFonts w:ascii="Times New Roman" w:hAnsi="Times New Roman" w:cs="Times New Roman"/>
          <w:color w:val="000000" w:themeColor="text1"/>
          <w:sz w:val="24"/>
          <w:szCs w:val="24"/>
          <w:shd w:val="clear" w:color="auto" w:fill="FFFFFF"/>
        </w:rPr>
        <w:t>e</w:t>
      </w:r>
      <w:r w:rsidR="006B38C9" w:rsidRPr="006F14E7">
        <w:rPr>
          <w:rFonts w:ascii="Times New Roman" w:hAnsi="Times New Roman" w:cs="Times New Roman"/>
          <w:color w:val="000000" w:themeColor="text1"/>
          <w:sz w:val="24"/>
          <w:szCs w:val="24"/>
          <w:shd w:val="clear" w:color="auto" w:fill="FFFFFF"/>
        </w:rPr>
        <w:t>lla</w:t>
      </w:r>
      <w:proofErr w:type="gramStart"/>
      <w:r w:rsidR="00767FE0" w:rsidRPr="006F14E7">
        <w:rPr>
          <w:rFonts w:ascii="Times New Roman" w:hAnsi="Times New Roman" w:cs="Times New Roman"/>
          <w:color w:val="000000" w:themeColor="text1"/>
          <w:sz w:val="24"/>
          <w:szCs w:val="24"/>
          <w:shd w:val="clear" w:color="auto" w:fill="FFFFFF"/>
        </w:rPr>
        <w:t>”</w:t>
      </w:r>
      <w:r w:rsidR="006B38C9"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31</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 xml:space="preserve">. En este sentido figuró el Programa Nacional de Solidaridad (PRONASOL) y los comités de Solidaridad </w:t>
      </w:r>
      <w:r w:rsidR="006B38C9" w:rsidRPr="006F14E7">
        <w:rPr>
          <w:rFonts w:ascii="Times New Roman" w:hAnsi="Times New Roman" w:cs="Times New Roman"/>
          <w:color w:val="000000" w:themeColor="text1"/>
          <w:sz w:val="24"/>
          <w:szCs w:val="24"/>
          <w:shd w:val="clear" w:color="auto" w:fill="FFFFFF"/>
        </w:rPr>
        <w:lastRenderedPageBreak/>
        <w:t xml:space="preserve">como un programa integrado por diversos sectores y estrategias de acción en materia de   nutrición, salud, educación, becas, vivienda, acceso a los servicios públicos y empleo productivo. Sin embargo, además de focalizar o limitar su atención exclusivamente a grupos en condiciones de pobreza, sus intervenciones no precisaron más que asegurar niveles básicos o mínimos de </w:t>
      </w:r>
      <w:proofErr w:type="gramStart"/>
      <w:r w:rsidR="006B38C9" w:rsidRPr="006F14E7">
        <w:rPr>
          <w:rFonts w:ascii="Times New Roman" w:hAnsi="Times New Roman" w:cs="Times New Roman"/>
          <w:color w:val="000000" w:themeColor="text1"/>
          <w:sz w:val="24"/>
          <w:szCs w:val="24"/>
          <w:shd w:val="clear" w:color="auto" w:fill="FFFFFF"/>
        </w:rPr>
        <w:t>bienestar</w:t>
      </w:r>
      <w:r w:rsidR="006B38C9"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1</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w:t>
      </w:r>
    </w:p>
    <w:p w14:paraId="52B145D4" w14:textId="7777777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14:paraId="6548BA49" w14:textId="15EA1A8F"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Al finalizar este sexenio, se observó que el acceso a servicios médicos por parte de los afiliados a la seguridad social ascendió a 45 millones (56%), y los no asegurados alrededor de 35 millones (44%), así como 10 millones de mexicanos desprovistos de este </w:t>
      </w:r>
      <w:proofErr w:type="gramStart"/>
      <w:r w:rsidRPr="006F14E7">
        <w:rPr>
          <w:rFonts w:ascii="Times New Roman" w:hAnsi="Times New Roman" w:cs="Times New Roman"/>
          <w:color w:val="000000" w:themeColor="text1"/>
          <w:sz w:val="24"/>
          <w:szCs w:val="24"/>
          <w:shd w:val="clear" w:color="auto" w:fill="FFFFFF"/>
        </w:rPr>
        <w:t>servicio</w:t>
      </w:r>
      <w:r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13</w:t>
      </w:r>
      <w:r w:rsidRPr="006F14E7">
        <w:rPr>
          <w:rFonts w:ascii="Times New Roman" w:hAnsi="Times New Roman" w:cs="Times New Roman"/>
          <w:color w:val="000000" w:themeColor="text1"/>
          <w:sz w:val="24"/>
          <w:szCs w:val="24"/>
          <w:shd w:val="clear" w:color="auto" w:fill="FFFFFF"/>
          <w:vertAlign w:val="superscript"/>
        </w:rPr>
        <w:t>)</w:t>
      </w:r>
      <w:r w:rsidR="00A077EF" w:rsidRPr="006F14E7">
        <w:rPr>
          <w:rFonts w:ascii="Times New Roman" w:hAnsi="Times New Roman" w:cs="Times New Roman"/>
          <w:color w:val="000000" w:themeColor="text1"/>
          <w:sz w:val="24"/>
          <w:szCs w:val="24"/>
          <w:shd w:val="clear" w:color="auto" w:fill="FFFFFF"/>
        </w:rPr>
        <w:t xml:space="preserve">, para quienes, la medicina privada fue la única opción. De hecho, la medicina privada brindó hasta 41% del total de contactos médicos a nivel nacional, misma que empleó al 34% de los </w:t>
      </w:r>
      <w:r w:rsidR="00195A15" w:rsidRPr="006F14E7">
        <w:rPr>
          <w:rFonts w:ascii="Times New Roman" w:hAnsi="Times New Roman" w:cs="Times New Roman"/>
          <w:color w:val="000000" w:themeColor="text1"/>
          <w:sz w:val="24"/>
          <w:szCs w:val="24"/>
          <w:shd w:val="clear" w:color="auto" w:fill="FFFFFF"/>
        </w:rPr>
        <w:t xml:space="preserve">médicos en el </w:t>
      </w:r>
      <w:proofErr w:type="gramStart"/>
      <w:r w:rsidR="00195A15" w:rsidRPr="006F14E7">
        <w:rPr>
          <w:rFonts w:ascii="Times New Roman" w:hAnsi="Times New Roman" w:cs="Times New Roman"/>
          <w:color w:val="000000" w:themeColor="text1"/>
          <w:sz w:val="24"/>
          <w:szCs w:val="24"/>
          <w:shd w:val="clear" w:color="auto" w:fill="FFFFFF"/>
        </w:rPr>
        <w:t>país</w:t>
      </w:r>
      <w:r w:rsidR="00A077EF"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16</w:t>
      </w:r>
      <w:r w:rsidR="00A077EF" w:rsidRPr="006F14E7">
        <w:rPr>
          <w:rFonts w:ascii="Times New Roman" w:hAnsi="Times New Roman" w:cs="Times New Roman"/>
          <w:color w:val="000000" w:themeColor="text1"/>
          <w:sz w:val="24"/>
          <w:szCs w:val="24"/>
          <w:shd w:val="clear" w:color="auto" w:fill="FFFFFF"/>
          <w:vertAlign w:val="superscript"/>
        </w:rPr>
        <w:t>)</w:t>
      </w:r>
      <w:r w:rsidR="00A077EF" w:rsidRPr="006F14E7">
        <w:rPr>
          <w:rFonts w:ascii="Times New Roman" w:hAnsi="Times New Roman" w:cs="Times New Roman"/>
          <w:color w:val="000000" w:themeColor="text1"/>
          <w:sz w:val="24"/>
          <w:szCs w:val="24"/>
          <w:shd w:val="clear" w:color="auto" w:fill="FFFFFF"/>
        </w:rPr>
        <w:t>.</w:t>
      </w:r>
    </w:p>
    <w:p w14:paraId="539CB126" w14:textId="77777777" w:rsidR="00376DFA" w:rsidRPr="006F14E7" w:rsidRDefault="00376DFA"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14:paraId="644C5A1E" w14:textId="4F4BD35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Por otro lado, en materia presupuestaria, tras la nueva crisis financiera en diciembre de 1994, el gobierno de Zedillo inició con importantes recortes, en el de salud fue del 30%</w:t>
      </w:r>
      <w:r w:rsidRPr="006F14E7">
        <w:rPr>
          <w:rFonts w:ascii="Times New Roman" w:hAnsi="Times New Roman" w:cs="Times New Roman"/>
          <w:color w:val="000000" w:themeColor="text1"/>
          <w:sz w:val="24"/>
          <w:szCs w:val="24"/>
          <w:shd w:val="clear" w:color="auto" w:fill="FFFFFF"/>
          <w:vertAlign w:val="superscript"/>
        </w:rPr>
        <w:t>(</w:t>
      </w:r>
      <w:r w:rsidR="00AB2105" w:rsidRPr="006F14E7">
        <w:rPr>
          <w:rFonts w:ascii="Times New Roman" w:hAnsi="Times New Roman" w:cs="Times New Roman"/>
          <w:color w:val="000000" w:themeColor="text1"/>
          <w:sz w:val="24"/>
          <w:szCs w:val="24"/>
          <w:shd w:val="clear" w:color="auto" w:fill="FFFFFF"/>
          <w:vertAlign w:val="superscript"/>
        </w:rPr>
        <w:t>32</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Pese a ello, en el Programa Nacional de Salud 199</w:t>
      </w:r>
      <w:r w:rsidR="007913C3" w:rsidRPr="006F14E7">
        <w:rPr>
          <w:rFonts w:ascii="Times New Roman" w:hAnsi="Times New Roman" w:cs="Times New Roman"/>
          <w:color w:val="000000" w:themeColor="text1"/>
          <w:sz w:val="24"/>
          <w:szCs w:val="24"/>
          <w:shd w:val="clear" w:color="auto" w:fill="FFFFFF"/>
        </w:rPr>
        <w:t>6</w:t>
      </w:r>
      <w:r w:rsidRPr="006F14E7">
        <w:rPr>
          <w:rFonts w:ascii="Times New Roman" w:hAnsi="Times New Roman" w:cs="Times New Roman"/>
          <w:color w:val="000000" w:themeColor="text1"/>
          <w:sz w:val="24"/>
          <w:szCs w:val="24"/>
          <w:shd w:val="clear" w:color="auto" w:fill="FFFFFF"/>
        </w:rPr>
        <w:t xml:space="preserve"> – 2000, destacó la intención de incentivar, “la calidad y la eficiencia en beneficio de los usuarios, ampliar la cobertura de la seguridad social, (…) y lograr una mayor equidad a través de instrumentos claros de ampliación de la cobertura</w:t>
      </w:r>
      <w:proofErr w:type="gramStart"/>
      <w:r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vertAlign w:val="superscript"/>
        </w:rPr>
        <w:t>(</w:t>
      </w:r>
      <w:proofErr w:type="gramEnd"/>
      <w:r w:rsidR="00760CD3" w:rsidRPr="006F14E7">
        <w:rPr>
          <w:rFonts w:ascii="Times New Roman" w:hAnsi="Times New Roman" w:cs="Times New Roman"/>
          <w:color w:val="000000" w:themeColor="text1"/>
          <w:sz w:val="24"/>
          <w:szCs w:val="24"/>
          <w:shd w:val="clear" w:color="auto" w:fill="FFFFFF"/>
          <w:vertAlign w:val="superscript"/>
        </w:rPr>
        <w:t>16</w:t>
      </w:r>
      <w:r w:rsidRPr="006F14E7">
        <w:rPr>
          <w:rFonts w:ascii="Times New Roman" w:hAnsi="Times New Roman" w:cs="Times New Roman"/>
          <w:color w:val="000000" w:themeColor="text1"/>
          <w:sz w:val="24"/>
          <w:szCs w:val="24"/>
          <w:shd w:val="clear" w:color="auto" w:fill="FFFFFF"/>
          <w:vertAlign w:val="superscript"/>
        </w:rPr>
        <w:t>)</w:t>
      </w:r>
      <w:r w:rsidR="002F0A7A" w:rsidRPr="006F14E7">
        <w:rPr>
          <w:rFonts w:ascii="Times New Roman" w:hAnsi="Times New Roman" w:cs="Times New Roman"/>
          <w:color w:val="000000" w:themeColor="text1"/>
          <w:sz w:val="24"/>
          <w:szCs w:val="24"/>
          <w:shd w:val="clear" w:color="auto" w:fill="FFFFFF"/>
        </w:rPr>
        <w:t xml:space="preserve">, situación que se </w:t>
      </w:r>
      <w:r w:rsidR="00EB18EC" w:rsidRPr="006F14E7">
        <w:rPr>
          <w:rFonts w:ascii="Times New Roman" w:hAnsi="Times New Roman" w:cs="Times New Roman"/>
          <w:color w:val="000000" w:themeColor="text1"/>
          <w:sz w:val="24"/>
          <w:szCs w:val="24"/>
          <w:shd w:val="clear" w:color="auto" w:fill="FFFFFF"/>
        </w:rPr>
        <w:t>vinculó</w:t>
      </w:r>
      <w:r w:rsidR="002F0A7A" w:rsidRPr="006F14E7">
        <w:rPr>
          <w:rFonts w:ascii="Times New Roman" w:hAnsi="Times New Roman" w:cs="Times New Roman"/>
          <w:color w:val="000000" w:themeColor="text1"/>
          <w:sz w:val="24"/>
          <w:szCs w:val="24"/>
          <w:shd w:val="clear" w:color="auto" w:fill="FFFFFF"/>
        </w:rPr>
        <w:t xml:space="preserve"> a </w:t>
      </w:r>
      <w:r w:rsidRPr="006F14E7">
        <w:rPr>
          <w:rFonts w:ascii="Times New Roman" w:hAnsi="Times New Roman" w:cs="Times New Roman"/>
          <w:color w:val="000000" w:themeColor="text1"/>
          <w:sz w:val="24"/>
          <w:szCs w:val="24"/>
          <w:shd w:val="clear" w:color="auto" w:fill="FFFFFF"/>
        </w:rPr>
        <w:t>la introducción de esquemas que permitieran a los usuarios elegir a sus médicos en el primer nivel de atención</w:t>
      </w:r>
      <w:r w:rsidRPr="006F14E7">
        <w:rPr>
          <w:rFonts w:ascii="Times New Roman" w:hAnsi="Times New Roman" w:cs="Times New Roman"/>
          <w:sz w:val="24"/>
          <w:szCs w:val="24"/>
          <w:shd w:val="clear" w:color="auto" w:fill="FFFFFF"/>
          <w:vertAlign w:val="superscript"/>
        </w:rPr>
        <w:t>(</w:t>
      </w:r>
      <w:r w:rsidR="00AB2105" w:rsidRPr="006F14E7">
        <w:rPr>
          <w:rFonts w:ascii="Times New Roman" w:hAnsi="Times New Roman" w:cs="Times New Roman"/>
          <w:sz w:val="24"/>
          <w:szCs w:val="24"/>
          <w:shd w:val="clear" w:color="auto" w:fill="FFFFFF"/>
          <w:vertAlign w:val="superscript"/>
        </w:rPr>
        <w:t>16</w:t>
      </w:r>
      <w:r w:rsidRPr="006F14E7">
        <w:rPr>
          <w:rFonts w:ascii="Times New Roman" w:hAnsi="Times New Roman" w:cs="Times New Roman"/>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No obstante, dicha elección terminó descansando sobre la capacidad económica de los </w:t>
      </w:r>
      <w:proofErr w:type="gramStart"/>
      <w:r w:rsidRPr="006F14E7">
        <w:rPr>
          <w:rFonts w:ascii="Times New Roman" w:hAnsi="Times New Roman" w:cs="Times New Roman"/>
          <w:color w:val="000000" w:themeColor="text1"/>
          <w:sz w:val="24"/>
          <w:szCs w:val="24"/>
          <w:shd w:val="clear" w:color="auto" w:fill="FFFFFF"/>
        </w:rPr>
        <w:t>usuarios</w:t>
      </w:r>
      <w:r w:rsidRPr="006F14E7">
        <w:rPr>
          <w:rFonts w:ascii="Times New Roman" w:hAnsi="Times New Roman" w:cs="Times New Roman"/>
          <w:color w:val="000000" w:themeColor="text1"/>
          <w:sz w:val="24"/>
          <w:szCs w:val="24"/>
          <w:shd w:val="clear" w:color="auto" w:fill="FFFFFF"/>
          <w:vertAlign w:val="superscript"/>
        </w:rPr>
        <w:t>(</w:t>
      </w:r>
      <w:proofErr w:type="gramEnd"/>
      <w:r w:rsidR="00AB2105" w:rsidRPr="006F14E7">
        <w:rPr>
          <w:rFonts w:ascii="Times New Roman" w:hAnsi="Times New Roman" w:cs="Times New Roman"/>
          <w:color w:val="000000" w:themeColor="text1"/>
          <w:sz w:val="24"/>
          <w:szCs w:val="24"/>
          <w:shd w:val="clear" w:color="auto" w:fill="FFFFFF"/>
          <w:vertAlign w:val="superscript"/>
        </w:rPr>
        <w:t>1</w:t>
      </w:r>
      <w:r w:rsidRPr="006F14E7">
        <w:rPr>
          <w:rFonts w:ascii="Times New Roman" w:hAnsi="Times New Roman" w:cs="Times New Roman"/>
          <w:color w:val="000000" w:themeColor="text1"/>
          <w:sz w:val="24"/>
          <w:szCs w:val="24"/>
          <w:shd w:val="clear" w:color="auto" w:fill="FFFFFF"/>
          <w:vertAlign w:val="superscript"/>
        </w:rPr>
        <w:t>)</w:t>
      </w:r>
      <w:r w:rsidR="00EB18EC" w:rsidRPr="006F14E7">
        <w:rPr>
          <w:rFonts w:ascii="Times New Roman" w:hAnsi="Times New Roman" w:cs="Times New Roman"/>
          <w:color w:val="000000" w:themeColor="text1"/>
          <w:sz w:val="24"/>
          <w:szCs w:val="24"/>
          <w:shd w:val="clear" w:color="auto" w:fill="FFFFFF"/>
        </w:rPr>
        <w:t>, pues</w:t>
      </w:r>
      <w:r w:rsidRPr="006F14E7">
        <w:rPr>
          <w:rFonts w:ascii="Times New Roman" w:hAnsi="Times New Roman" w:cs="Times New Roman"/>
          <w:color w:val="000000" w:themeColor="text1"/>
          <w:sz w:val="24"/>
          <w:szCs w:val="24"/>
          <w:shd w:val="clear" w:color="auto" w:fill="FFFFFF"/>
        </w:rPr>
        <w:t xml:space="preserve"> se incorporaron formalmente las Instituciones de Seguros Especializadas en Salud (ISES) como prestadoras de servicios de salud “a cambio de un pago. Con ello se inicia oficialmente el universo de la medicina </w:t>
      </w:r>
      <w:proofErr w:type="spellStart"/>
      <w:r w:rsidRPr="006F14E7">
        <w:rPr>
          <w:rFonts w:ascii="Times New Roman" w:hAnsi="Times New Roman" w:cs="Times New Roman"/>
          <w:color w:val="000000" w:themeColor="text1"/>
          <w:sz w:val="24"/>
          <w:szCs w:val="24"/>
          <w:shd w:val="clear" w:color="auto" w:fill="FFFFFF"/>
        </w:rPr>
        <w:t>prepagada</w:t>
      </w:r>
      <w:proofErr w:type="spellEnd"/>
      <w:proofErr w:type="gramStart"/>
      <w:r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vertAlign w:val="superscript"/>
        </w:rPr>
        <w:t>(</w:t>
      </w:r>
      <w:proofErr w:type="gramEnd"/>
      <w:r w:rsidR="0091537E" w:rsidRPr="006F14E7">
        <w:rPr>
          <w:rFonts w:ascii="Times New Roman" w:hAnsi="Times New Roman" w:cs="Times New Roman"/>
          <w:color w:val="000000" w:themeColor="text1"/>
          <w:sz w:val="24"/>
          <w:szCs w:val="24"/>
          <w:shd w:val="clear" w:color="auto" w:fill="FFFFFF"/>
          <w:vertAlign w:val="superscript"/>
        </w:rPr>
        <w:t>33</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p>
    <w:p w14:paraId="602A2A5B" w14:textId="7777777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14:paraId="70B68F8F" w14:textId="644EF49F" w:rsidR="00EB18EC" w:rsidRPr="006F14E7" w:rsidRDefault="00EB18EC"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Por su parte </w:t>
      </w:r>
      <w:r w:rsidR="006B38C9" w:rsidRPr="006F14E7">
        <w:rPr>
          <w:rFonts w:ascii="Times New Roman" w:hAnsi="Times New Roman" w:cs="Times New Roman"/>
          <w:color w:val="000000" w:themeColor="text1"/>
          <w:sz w:val="24"/>
          <w:szCs w:val="24"/>
          <w:shd w:val="clear" w:color="auto" w:fill="FFFFFF"/>
        </w:rPr>
        <w:t xml:space="preserve">las personas sin capacidad de pago podrían asistir a los centros de salud para población abierta, “pero solamente tendrían derecho a los servicios incluidos en un "Paquete Básico de Servicios de Salud" (PB) constituido por 12 intervenciones seleccionadas bajo el principio del peso de la enfermedad y costo-efectividad” </w:t>
      </w:r>
      <w:r w:rsidR="00AB2105" w:rsidRPr="006F14E7">
        <w:rPr>
          <w:rFonts w:ascii="Times New Roman" w:hAnsi="Times New Roman" w:cs="Times New Roman"/>
          <w:color w:val="000000" w:themeColor="text1"/>
          <w:sz w:val="24"/>
          <w:szCs w:val="24"/>
          <w:shd w:val="clear" w:color="auto" w:fill="FFFFFF"/>
          <w:vertAlign w:val="superscript"/>
        </w:rPr>
        <w:t>(34</w:t>
      </w:r>
      <w:r w:rsidR="006B38C9" w:rsidRPr="006F14E7">
        <w:rPr>
          <w:rFonts w:ascii="Times New Roman" w:hAnsi="Times New Roman" w:cs="Times New Roman"/>
          <w:color w:val="000000" w:themeColor="text1"/>
          <w:sz w:val="24"/>
          <w:szCs w:val="24"/>
          <w:shd w:val="clear" w:color="auto" w:fill="FFFFFF"/>
          <w:vertAlign w:val="superscript"/>
        </w:rPr>
        <w:t xml:space="preserve">). </w:t>
      </w:r>
      <w:r w:rsidR="00CB0C2E" w:rsidRPr="006F14E7">
        <w:rPr>
          <w:rFonts w:ascii="Times New Roman" w:hAnsi="Times New Roman" w:cs="Times New Roman"/>
          <w:color w:val="000000" w:themeColor="text1"/>
          <w:sz w:val="24"/>
          <w:szCs w:val="24"/>
          <w:shd w:val="clear" w:color="auto" w:fill="FFFFFF"/>
        </w:rPr>
        <w:t xml:space="preserve"> Así, a</w:t>
      </w:r>
      <w:r w:rsidR="006B38C9" w:rsidRPr="006F14E7">
        <w:rPr>
          <w:rFonts w:ascii="Times New Roman" w:hAnsi="Times New Roman" w:cs="Times New Roman"/>
          <w:color w:val="000000" w:themeColor="text1"/>
          <w:sz w:val="24"/>
          <w:szCs w:val="24"/>
          <w:shd w:val="clear" w:color="auto" w:fill="FFFFFF"/>
        </w:rPr>
        <w:t xml:space="preserve">l final de sexenio, solo el 38% de la población estuvo afiliado por alguna institución de seguridad social, 1.30% por instituciones para población abierta y 1% privadas, así como una proporción del 58.90% de la población desprovista de acceso efectivo a servicios de </w:t>
      </w:r>
      <w:proofErr w:type="gramStart"/>
      <w:r w:rsidR="006B38C9" w:rsidRPr="006F14E7">
        <w:rPr>
          <w:rFonts w:ascii="Times New Roman" w:hAnsi="Times New Roman" w:cs="Times New Roman"/>
          <w:color w:val="000000" w:themeColor="text1"/>
          <w:sz w:val="24"/>
          <w:szCs w:val="24"/>
          <w:shd w:val="clear" w:color="auto" w:fill="FFFFFF"/>
        </w:rPr>
        <w:t>salud</w:t>
      </w:r>
      <w:r w:rsidR="006B38C9" w:rsidRPr="006F14E7">
        <w:rPr>
          <w:rFonts w:ascii="Times New Roman" w:hAnsi="Times New Roman" w:cs="Times New Roman"/>
          <w:color w:val="000000" w:themeColor="text1"/>
          <w:sz w:val="24"/>
          <w:szCs w:val="24"/>
          <w:shd w:val="clear" w:color="auto" w:fill="FFFFFF"/>
          <w:vertAlign w:val="superscript"/>
        </w:rPr>
        <w:t>(</w:t>
      </w:r>
      <w:proofErr w:type="gramEnd"/>
      <w:r w:rsidR="00AB2105" w:rsidRPr="006F14E7">
        <w:rPr>
          <w:rFonts w:ascii="Times New Roman" w:hAnsi="Times New Roman" w:cs="Times New Roman"/>
          <w:color w:val="000000" w:themeColor="text1"/>
          <w:sz w:val="24"/>
          <w:szCs w:val="24"/>
          <w:shd w:val="clear" w:color="auto" w:fill="FFFFFF"/>
          <w:vertAlign w:val="superscript"/>
        </w:rPr>
        <w:t>35</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w:t>
      </w:r>
    </w:p>
    <w:p w14:paraId="34F64EDC" w14:textId="5FE509D1"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 </w:t>
      </w:r>
    </w:p>
    <w:p w14:paraId="6632FC7E" w14:textId="3D572DBA"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Posteriormente,</w:t>
      </w:r>
      <w:r w:rsidR="00715CA8"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la</w:t>
      </w:r>
      <w:r w:rsidR="002E6965" w:rsidRPr="006F14E7">
        <w:rPr>
          <w:rFonts w:ascii="Times New Roman" w:hAnsi="Times New Roman" w:cs="Times New Roman"/>
          <w:color w:val="000000" w:themeColor="text1"/>
          <w:sz w:val="24"/>
          <w:szCs w:val="24"/>
          <w:shd w:val="clear" w:color="auto" w:fill="FFFFFF"/>
        </w:rPr>
        <w:t xml:space="preserve"> nueva</w:t>
      </w:r>
      <w:r w:rsidRPr="006F14E7">
        <w:rPr>
          <w:rFonts w:ascii="Times New Roman" w:hAnsi="Times New Roman" w:cs="Times New Roman"/>
          <w:color w:val="000000" w:themeColor="text1"/>
          <w:sz w:val="24"/>
          <w:szCs w:val="24"/>
          <w:shd w:val="clear" w:color="auto" w:fill="FFFFFF"/>
        </w:rPr>
        <w:t xml:space="preserve"> administración </w:t>
      </w:r>
      <w:r w:rsidR="00715CA8" w:rsidRPr="006F14E7">
        <w:rPr>
          <w:rFonts w:ascii="Times New Roman" w:hAnsi="Times New Roman" w:cs="Times New Roman"/>
          <w:color w:val="000000" w:themeColor="text1"/>
          <w:sz w:val="24"/>
          <w:szCs w:val="24"/>
          <w:shd w:val="clear" w:color="auto" w:fill="FFFFFF"/>
        </w:rPr>
        <w:t xml:space="preserve">foxista </w:t>
      </w:r>
      <w:r w:rsidRPr="006F14E7">
        <w:rPr>
          <w:rFonts w:ascii="Times New Roman" w:hAnsi="Times New Roman" w:cs="Times New Roman"/>
          <w:color w:val="000000" w:themeColor="text1"/>
          <w:sz w:val="24"/>
          <w:szCs w:val="24"/>
          <w:shd w:val="clear" w:color="auto" w:fill="FFFFFF"/>
        </w:rPr>
        <w:t xml:space="preserve">(2000-2006), no solo dio continuidad a las </w:t>
      </w:r>
      <w:r w:rsidR="00715CA8" w:rsidRPr="006F14E7">
        <w:rPr>
          <w:rFonts w:ascii="Times New Roman" w:hAnsi="Times New Roman" w:cs="Times New Roman"/>
          <w:color w:val="000000" w:themeColor="text1"/>
          <w:sz w:val="24"/>
          <w:szCs w:val="24"/>
          <w:shd w:val="clear" w:color="auto" w:fill="FFFFFF"/>
        </w:rPr>
        <w:t>políticas neoliberales</w:t>
      </w:r>
      <w:r w:rsidRPr="006F14E7">
        <w:rPr>
          <w:rFonts w:ascii="Times New Roman" w:hAnsi="Times New Roman" w:cs="Times New Roman"/>
          <w:color w:val="000000" w:themeColor="text1"/>
          <w:sz w:val="24"/>
          <w:szCs w:val="24"/>
          <w:shd w:val="clear" w:color="auto" w:fill="FFFFFF"/>
        </w:rPr>
        <w:t xml:space="preserve">, sino que además acentuó su lógica a través de una tercera generación de reformas sanitarias al incorporar el Sistema de Protección Social en Salud (SPSS), el cual operó entre 2004 y 2018. </w:t>
      </w:r>
    </w:p>
    <w:p w14:paraId="4D0D65E2" w14:textId="7777777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14:paraId="160A6F76" w14:textId="51FD86B4"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Entre las estrategias contenidas en el Programa Nacional de Salud 2001 – 2006, se destacó el objetivo de vincular la salud con el desarrollo económico y social, bajo la concepción de</w:t>
      </w:r>
      <w:r w:rsidR="00332A78" w:rsidRPr="006F14E7">
        <w:rPr>
          <w:rFonts w:ascii="Times New Roman" w:hAnsi="Times New Roman" w:cs="Times New Roman"/>
          <w:color w:val="000000" w:themeColor="text1"/>
          <w:sz w:val="24"/>
          <w:szCs w:val="24"/>
          <w:shd w:val="clear" w:color="auto" w:fill="FFFFFF"/>
        </w:rPr>
        <w:t xml:space="preserve"> salud de</w:t>
      </w:r>
      <w:r w:rsidRPr="006F14E7">
        <w:rPr>
          <w:rFonts w:ascii="Times New Roman" w:hAnsi="Times New Roman" w:cs="Times New Roman"/>
          <w:color w:val="000000" w:themeColor="text1"/>
          <w:sz w:val="24"/>
          <w:szCs w:val="24"/>
          <w:shd w:val="clear" w:color="auto" w:fill="FFFFFF"/>
        </w:rPr>
        <w:t xml:space="preserve"> la OMS, a través de la promoción de actividades “multisectoriales sobre los determinantes de la salud, especialmente en materia de educación, alimentación, acceso a agua potable y, </w:t>
      </w:r>
      <w:proofErr w:type="gramStart"/>
      <w:r w:rsidRPr="006F14E7">
        <w:rPr>
          <w:rFonts w:ascii="Times New Roman" w:hAnsi="Times New Roman" w:cs="Times New Roman"/>
          <w:color w:val="000000" w:themeColor="text1"/>
          <w:sz w:val="24"/>
          <w:szCs w:val="24"/>
          <w:shd w:val="clear" w:color="auto" w:fill="FFFFFF"/>
        </w:rPr>
        <w:t>vivienda</w:t>
      </w:r>
      <w:r w:rsidRPr="006F14E7">
        <w:rPr>
          <w:rFonts w:ascii="Times New Roman" w:hAnsi="Times New Roman" w:cs="Times New Roman"/>
          <w:sz w:val="24"/>
          <w:szCs w:val="24"/>
          <w:shd w:val="clear" w:color="auto" w:fill="FFFFFF"/>
          <w:vertAlign w:val="superscript"/>
        </w:rPr>
        <w:t>(</w:t>
      </w:r>
      <w:proofErr w:type="gramEnd"/>
      <w:r w:rsidR="009677C7" w:rsidRPr="006F14E7">
        <w:rPr>
          <w:rFonts w:ascii="Times New Roman" w:hAnsi="Times New Roman" w:cs="Times New Roman"/>
          <w:sz w:val="24"/>
          <w:szCs w:val="24"/>
          <w:shd w:val="clear" w:color="auto" w:fill="FFFFFF"/>
          <w:vertAlign w:val="superscript"/>
        </w:rPr>
        <w:t>36</w:t>
      </w:r>
      <w:r w:rsidRPr="006F14E7">
        <w:rPr>
          <w:rFonts w:ascii="Times New Roman" w:hAnsi="Times New Roman" w:cs="Times New Roman"/>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También precisó reducir los rezagos en salud, a través de la </w:t>
      </w:r>
      <w:r w:rsidRPr="006F14E7">
        <w:rPr>
          <w:rFonts w:ascii="Times New Roman" w:hAnsi="Times New Roman" w:cs="Times New Roman"/>
          <w:color w:val="000000" w:themeColor="text1"/>
          <w:sz w:val="24"/>
          <w:szCs w:val="24"/>
          <w:shd w:val="clear" w:color="auto" w:fill="FFFFFF"/>
        </w:rPr>
        <w:lastRenderedPageBreak/>
        <w:t>garantía e</w:t>
      </w:r>
      <w:r w:rsidR="00EB18EC" w:rsidRPr="006F14E7">
        <w:rPr>
          <w:rFonts w:ascii="Times New Roman" w:hAnsi="Times New Roman" w:cs="Times New Roman"/>
          <w:color w:val="000000" w:themeColor="text1"/>
          <w:sz w:val="24"/>
          <w:szCs w:val="24"/>
          <w:shd w:val="clear" w:color="auto" w:fill="FFFFFF"/>
        </w:rPr>
        <w:t>l acceso efectivo</w:t>
      </w:r>
      <w:r w:rsidR="004E2005" w:rsidRPr="006F14E7">
        <w:rPr>
          <w:rFonts w:ascii="Times New Roman" w:hAnsi="Times New Roman" w:cs="Times New Roman"/>
          <w:color w:val="000000" w:themeColor="text1"/>
          <w:sz w:val="24"/>
          <w:szCs w:val="24"/>
          <w:shd w:val="clear" w:color="auto" w:fill="FFFFFF"/>
        </w:rPr>
        <w:t xml:space="preserve"> de la </w:t>
      </w:r>
      <w:proofErr w:type="spellStart"/>
      <w:r w:rsidR="004E2005" w:rsidRPr="006F14E7">
        <w:rPr>
          <w:rFonts w:ascii="Times New Roman" w:hAnsi="Times New Roman" w:cs="Times New Roman"/>
          <w:color w:val="000000" w:themeColor="text1"/>
          <w:sz w:val="24"/>
          <w:szCs w:val="24"/>
          <w:shd w:val="clear" w:color="auto" w:fill="FFFFFF"/>
        </w:rPr>
        <w:t>poblacion</w:t>
      </w:r>
      <w:proofErr w:type="spellEnd"/>
      <w:r w:rsidR="004E2005" w:rsidRPr="006F14E7">
        <w:rPr>
          <w:rFonts w:ascii="Times New Roman" w:hAnsi="Times New Roman" w:cs="Times New Roman"/>
          <w:color w:val="000000" w:themeColor="text1"/>
          <w:sz w:val="24"/>
          <w:szCs w:val="24"/>
          <w:shd w:val="clear" w:color="auto" w:fill="FFFFFF"/>
        </w:rPr>
        <w:t xml:space="preserve"> más pobre a servicios básicos de salud, educación y nutrición a través del programa </w:t>
      </w:r>
      <w:proofErr w:type="gramStart"/>
      <w:r w:rsidR="004E2005" w:rsidRPr="006F14E7">
        <w:rPr>
          <w:rFonts w:ascii="Times New Roman" w:hAnsi="Times New Roman" w:cs="Times New Roman"/>
          <w:color w:val="000000" w:themeColor="text1"/>
          <w:sz w:val="24"/>
          <w:szCs w:val="24"/>
          <w:shd w:val="clear" w:color="auto" w:fill="FFFFFF"/>
        </w:rPr>
        <w:t>OPORTUNIDADES</w:t>
      </w:r>
      <w:r w:rsidRPr="006F14E7">
        <w:rPr>
          <w:rFonts w:ascii="Times New Roman" w:hAnsi="Times New Roman" w:cs="Times New Roman"/>
          <w:color w:val="000000" w:themeColor="text1"/>
          <w:sz w:val="24"/>
          <w:szCs w:val="24"/>
          <w:shd w:val="clear" w:color="auto" w:fill="FFFFFF"/>
          <w:vertAlign w:val="superscript"/>
        </w:rPr>
        <w:t>(</w:t>
      </w:r>
      <w:proofErr w:type="gramEnd"/>
      <w:r w:rsidR="009677C7" w:rsidRPr="006F14E7">
        <w:rPr>
          <w:rFonts w:ascii="Times New Roman" w:hAnsi="Times New Roman" w:cs="Times New Roman"/>
          <w:color w:val="000000" w:themeColor="text1"/>
          <w:sz w:val="24"/>
          <w:szCs w:val="24"/>
          <w:shd w:val="clear" w:color="auto" w:fill="FFFFFF"/>
          <w:vertAlign w:val="superscript"/>
        </w:rPr>
        <w:t>36</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p>
    <w:p w14:paraId="2962CBF9" w14:textId="7777777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14:paraId="3E56238E" w14:textId="5D23C6F7" w:rsidR="006B38C9" w:rsidRPr="006F14E7" w:rsidRDefault="006B38C9" w:rsidP="009E3B50">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Por su parte, el Sistema de Protección Social en Salud (SPSS) </w:t>
      </w:r>
      <w:r w:rsidR="004E2005" w:rsidRPr="006F14E7">
        <w:rPr>
          <w:rFonts w:ascii="Times New Roman" w:hAnsi="Times New Roman" w:cs="Times New Roman"/>
          <w:color w:val="000000" w:themeColor="text1"/>
          <w:sz w:val="24"/>
          <w:szCs w:val="24"/>
          <w:shd w:val="clear" w:color="auto" w:fill="FFFFFF"/>
        </w:rPr>
        <w:t>buscó</w:t>
      </w:r>
      <w:r w:rsidRPr="006F14E7">
        <w:rPr>
          <w:rFonts w:ascii="Times New Roman" w:hAnsi="Times New Roman" w:cs="Times New Roman"/>
          <w:color w:val="000000" w:themeColor="text1"/>
          <w:sz w:val="24"/>
          <w:szCs w:val="24"/>
          <w:shd w:val="clear" w:color="auto" w:fill="FFFFFF"/>
        </w:rPr>
        <w:t xml:space="preserve"> garantizar “la atención médica de primer y segundo nivel, los medicamentos, los estudios de laboratorio y las cirugías de las enfermedades agudas más comunes</w:t>
      </w:r>
      <w:proofErr w:type="gramStart"/>
      <w:r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vertAlign w:val="superscript"/>
        </w:rPr>
        <w:t>(</w:t>
      </w:r>
      <w:proofErr w:type="gramEnd"/>
      <w:r w:rsidR="009677C7" w:rsidRPr="006F14E7">
        <w:rPr>
          <w:rFonts w:ascii="Times New Roman" w:hAnsi="Times New Roman" w:cs="Times New Roman"/>
          <w:color w:val="000000" w:themeColor="text1"/>
          <w:sz w:val="24"/>
          <w:szCs w:val="24"/>
          <w:shd w:val="clear" w:color="auto" w:fill="FFFFFF"/>
          <w:vertAlign w:val="superscript"/>
        </w:rPr>
        <w:t>36</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No obstante, el Estado como garante del acceso a dichos servicios, dejó de figurar como prestador de los servicios, para limitarse a financiarlos a través de subsidios, con base a un paquete básico de 78 intervenciones</w:t>
      </w:r>
      <w:r w:rsidR="00BA4B42" w:rsidRPr="006F14E7">
        <w:rPr>
          <w:rFonts w:ascii="Times New Roman" w:hAnsi="Times New Roman" w:cs="Times New Roman"/>
          <w:color w:val="000000" w:themeColor="text1"/>
          <w:sz w:val="24"/>
          <w:szCs w:val="24"/>
          <w:shd w:val="clear" w:color="auto" w:fill="FFFFFF"/>
          <w:vertAlign w:val="superscript"/>
        </w:rPr>
        <w:t>(</w:t>
      </w:r>
      <w:r w:rsidR="009677C7" w:rsidRPr="006F14E7">
        <w:rPr>
          <w:rFonts w:ascii="Times New Roman" w:hAnsi="Times New Roman" w:cs="Times New Roman"/>
          <w:color w:val="000000" w:themeColor="text1"/>
          <w:sz w:val="24"/>
          <w:szCs w:val="24"/>
          <w:shd w:val="clear" w:color="auto" w:fill="FFFFFF"/>
          <w:vertAlign w:val="superscript"/>
        </w:rPr>
        <w:t>36</w:t>
      </w:r>
      <w:r w:rsidR="00BA4B42"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el cual creación al finalizar el sexenio a 294 intervenciones</w:t>
      </w:r>
      <w:r w:rsidRPr="006F14E7">
        <w:rPr>
          <w:rFonts w:ascii="Times New Roman" w:hAnsi="Times New Roman" w:cs="Times New Roman"/>
          <w:color w:val="000000" w:themeColor="text1"/>
          <w:sz w:val="24"/>
          <w:szCs w:val="24"/>
          <w:shd w:val="clear" w:color="auto" w:fill="FFFFFF"/>
          <w:vertAlign w:val="superscript"/>
        </w:rPr>
        <w:t>(</w:t>
      </w:r>
      <w:r w:rsidR="009677C7" w:rsidRPr="006F14E7">
        <w:rPr>
          <w:rFonts w:ascii="Times New Roman" w:hAnsi="Times New Roman" w:cs="Times New Roman"/>
          <w:color w:val="000000" w:themeColor="text1"/>
          <w:sz w:val="24"/>
          <w:szCs w:val="24"/>
          <w:shd w:val="clear" w:color="auto" w:fill="FFFFFF"/>
          <w:vertAlign w:val="superscript"/>
        </w:rPr>
        <w:t>37</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De acuerdo con el SPSS consistió en “un prepago subsidiado con fondos públicos, dirigido a la población de bajos recursos care</w:t>
      </w:r>
      <w:r w:rsidR="004E2005" w:rsidRPr="006F14E7">
        <w:rPr>
          <w:rFonts w:ascii="Times New Roman" w:hAnsi="Times New Roman" w:cs="Times New Roman"/>
          <w:color w:val="000000" w:themeColor="text1"/>
          <w:sz w:val="24"/>
          <w:szCs w:val="24"/>
          <w:shd w:val="clear" w:color="auto" w:fill="FFFFFF"/>
        </w:rPr>
        <w:t>nte</w:t>
      </w:r>
      <w:r w:rsidRPr="006F14E7">
        <w:rPr>
          <w:rFonts w:ascii="Times New Roman" w:hAnsi="Times New Roman" w:cs="Times New Roman"/>
          <w:color w:val="000000" w:themeColor="text1"/>
          <w:sz w:val="24"/>
          <w:szCs w:val="24"/>
          <w:shd w:val="clear" w:color="auto" w:fill="FFFFFF"/>
        </w:rPr>
        <w:t xml:space="preserve"> de aseguramiento</w:t>
      </w:r>
      <w:proofErr w:type="gramStart"/>
      <w:r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vertAlign w:val="superscript"/>
        </w:rPr>
        <w:t>(</w:t>
      </w:r>
      <w:proofErr w:type="gramEnd"/>
      <w:r w:rsidR="009677C7" w:rsidRPr="006F14E7">
        <w:rPr>
          <w:rFonts w:ascii="Times New Roman" w:hAnsi="Times New Roman" w:cs="Times New Roman"/>
          <w:color w:val="000000" w:themeColor="text1"/>
          <w:sz w:val="24"/>
          <w:szCs w:val="24"/>
          <w:shd w:val="clear" w:color="auto" w:fill="FFFFFF"/>
          <w:vertAlign w:val="superscript"/>
        </w:rPr>
        <w:t>37</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r w:rsidR="002E6965" w:rsidRPr="006F14E7">
        <w:rPr>
          <w:rFonts w:ascii="Times New Roman" w:hAnsi="Times New Roman" w:cs="Times New Roman"/>
          <w:color w:val="000000" w:themeColor="text1"/>
          <w:sz w:val="24"/>
          <w:szCs w:val="24"/>
          <w:shd w:val="clear" w:color="auto" w:fill="FFFFFF"/>
        </w:rPr>
        <w:t xml:space="preserve"> </w:t>
      </w:r>
      <w:r w:rsidR="004E2005" w:rsidRPr="006F14E7">
        <w:rPr>
          <w:rFonts w:ascii="Times New Roman" w:hAnsi="Times New Roman" w:cs="Times New Roman"/>
          <w:color w:val="000000" w:themeColor="text1"/>
          <w:sz w:val="24"/>
          <w:szCs w:val="24"/>
          <w:shd w:val="clear" w:color="auto" w:fill="FFFFFF"/>
        </w:rPr>
        <w:t>Sin embargo,</w:t>
      </w:r>
      <w:r w:rsidRPr="006F14E7">
        <w:rPr>
          <w:rFonts w:ascii="Times New Roman" w:hAnsi="Times New Roman" w:cs="Times New Roman"/>
          <w:color w:val="000000" w:themeColor="text1"/>
          <w:sz w:val="24"/>
          <w:szCs w:val="24"/>
          <w:shd w:val="clear" w:color="auto" w:fill="FFFFFF"/>
        </w:rPr>
        <w:t xml:space="preserve"> el artículo 77 bis11 de la Ley General de Salud, modificada en</w:t>
      </w:r>
      <w:r w:rsidR="004E2005" w:rsidRPr="006F14E7">
        <w:rPr>
          <w:rFonts w:ascii="Times New Roman" w:hAnsi="Times New Roman" w:cs="Times New Roman"/>
          <w:color w:val="000000" w:themeColor="text1"/>
          <w:sz w:val="24"/>
          <w:szCs w:val="24"/>
          <w:shd w:val="clear" w:color="auto" w:fill="FFFFFF"/>
        </w:rPr>
        <w:t xml:space="preserve"> 2003</w:t>
      </w:r>
      <w:r w:rsidRPr="006F14E7">
        <w:rPr>
          <w:rFonts w:ascii="Times New Roman" w:hAnsi="Times New Roman" w:cs="Times New Roman"/>
          <w:color w:val="000000" w:themeColor="text1"/>
          <w:sz w:val="24"/>
          <w:szCs w:val="24"/>
          <w:shd w:val="clear" w:color="auto" w:fill="FFFFFF"/>
        </w:rPr>
        <w:t xml:space="preserve">, determinó que la responsabilidad del coste del acceso a los servicios de salud sería compartida entre la </w:t>
      </w:r>
      <w:r w:rsidR="004E2005" w:rsidRPr="006F14E7">
        <w:rPr>
          <w:rFonts w:ascii="Times New Roman" w:hAnsi="Times New Roman" w:cs="Times New Roman"/>
          <w:color w:val="000000" w:themeColor="text1"/>
          <w:sz w:val="24"/>
          <w:szCs w:val="24"/>
          <w:shd w:val="clear" w:color="auto" w:fill="FFFFFF"/>
        </w:rPr>
        <w:t>F</w:t>
      </w:r>
      <w:r w:rsidRPr="006F14E7">
        <w:rPr>
          <w:rFonts w:ascii="Times New Roman" w:hAnsi="Times New Roman" w:cs="Times New Roman"/>
          <w:color w:val="000000" w:themeColor="text1"/>
          <w:sz w:val="24"/>
          <w:szCs w:val="24"/>
          <w:shd w:val="clear" w:color="auto" w:fill="FFFFFF"/>
        </w:rPr>
        <w:t xml:space="preserve">ederación, los estados y en </w:t>
      </w:r>
      <w:proofErr w:type="gramStart"/>
      <w:r w:rsidRPr="006F14E7">
        <w:rPr>
          <w:rFonts w:ascii="Times New Roman" w:hAnsi="Times New Roman" w:cs="Times New Roman"/>
          <w:color w:val="000000" w:themeColor="text1"/>
          <w:sz w:val="24"/>
          <w:szCs w:val="24"/>
          <w:shd w:val="clear" w:color="auto" w:fill="FFFFFF"/>
        </w:rPr>
        <w:t>beneficiario</w:t>
      </w:r>
      <w:r w:rsidRPr="006F14E7">
        <w:rPr>
          <w:rFonts w:ascii="Times New Roman" w:hAnsi="Times New Roman" w:cs="Times New Roman"/>
          <w:color w:val="000000" w:themeColor="text1"/>
          <w:sz w:val="24"/>
          <w:szCs w:val="24"/>
          <w:shd w:val="clear" w:color="auto" w:fill="FFFFFF"/>
          <w:vertAlign w:val="superscript"/>
        </w:rPr>
        <w:t>(</w:t>
      </w:r>
      <w:proofErr w:type="gramEnd"/>
      <w:r w:rsidR="009677C7" w:rsidRPr="006F14E7">
        <w:rPr>
          <w:rFonts w:ascii="Times New Roman" w:hAnsi="Times New Roman" w:cs="Times New Roman"/>
          <w:color w:val="000000" w:themeColor="text1"/>
          <w:sz w:val="24"/>
          <w:szCs w:val="24"/>
          <w:shd w:val="clear" w:color="auto" w:fill="FFFFFF"/>
          <w:vertAlign w:val="superscript"/>
        </w:rPr>
        <w:t>38</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bajo </w:t>
      </w:r>
      <w:r w:rsidR="004E2005" w:rsidRPr="006F14E7">
        <w:rPr>
          <w:rFonts w:ascii="Times New Roman" w:hAnsi="Times New Roman" w:cs="Times New Roman"/>
          <w:color w:val="000000" w:themeColor="text1"/>
          <w:sz w:val="24"/>
          <w:szCs w:val="24"/>
          <w:shd w:val="clear" w:color="auto" w:fill="FFFFFF"/>
        </w:rPr>
        <w:t>el concepto</w:t>
      </w:r>
      <w:r w:rsidRPr="006F14E7">
        <w:rPr>
          <w:rFonts w:ascii="Times New Roman" w:hAnsi="Times New Roman" w:cs="Times New Roman"/>
          <w:color w:val="000000" w:themeColor="text1"/>
          <w:sz w:val="24"/>
          <w:szCs w:val="24"/>
          <w:shd w:val="clear" w:color="auto" w:fill="FFFFFF"/>
        </w:rPr>
        <w:t xml:space="preserve"> de un federalismo cooperativo</w:t>
      </w:r>
      <w:r w:rsidRPr="006F14E7">
        <w:rPr>
          <w:rFonts w:ascii="Times New Roman" w:hAnsi="Times New Roman" w:cs="Times New Roman"/>
          <w:color w:val="000000" w:themeColor="text1"/>
          <w:sz w:val="24"/>
          <w:szCs w:val="24"/>
          <w:shd w:val="clear" w:color="auto" w:fill="FFFFFF"/>
          <w:vertAlign w:val="superscript"/>
        </w:rPr>
        <w:t>(</w:t>
      </w:r>
      <w:r w:rsidR="009677C7" w:rsidRPr="006F14E7">
        <w:rPr>
          <w:rFonts w:ascii="Times New Roman" w:hAnsi="Times New Roman" w:cs="Times New Roman"/>
          <w:color w:val="000000" w:themeColor="text1"/>
          <w:sz w:val="24"/>
          <w:szCs w:val="24"/>
          <w:shd w:val="clear" w:color="auto" w:fill="FFFFFF"/>
          <w:vertAlign w:val="superscript"/>
        </w:rPr>
        <w:t>14,38</w:t>
      </w:r>
      <w:r w:rsidRPr="006F14E7">
        <w:rPr>
          <w:rFonts w:ascii="Times New Roman" w:hAnsi="Times New Roman" w:cs="Times New Roman"/>
          <w:color w:val="000000" w:themeColor="text1"/>
          <w:sz w:val="24"/>
          <w:szCs w:val="24"/>
          <w:shd w:val="clear" w:color="auto" w:fill="FFFFFF"/>
          <w:vertAlign w:val="superscript"/>
        </w:rPr>
        <w:t>)</w:t>
      </w:r>
      <w:r w:rsidR="00377E0A" w:rsidRPr="006F14E7">
        <w:rPr>
          <w:rFonts w:ascii="Times New Roman" w:hAnsi="Times New Roman" w:cs="Times New Roman"/>
          <w:color w:val="000000" w:themeColor="text1"/>
          <w:sz w:val="24"/>
          <w:szCs w:val="24"/>
          <w:shd w:val="clear" w:color="auto" w:fill="FFFFFF"/>
        </w:rPr>
        <w:t>.</w:t>
      </w:r>
    </w:p>
    <w:p w14:paraId="099ED4FB"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2D5D6538" w14:textId="554C82D3" w:rsidR="006B38C9"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Finalmente, la población afiliada a alguna institución de salud por vínculo laboral pasó del 38.8% en el año 2000 al 34.40% en 2006, mientras que la población sin acceso a servicios de atención médica pasó del 58.90% al 48.50% en el mismo periodo </w:t>
      </w:r>
      <w:r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35,39</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Mientras </w:t>
      </w:r>
      <w:r w:rsidR="005A295E" w:rsidRPr="006F14E7">
        <w:rPr>
          <w:rFonts w:ascii="Times New Roman" w:hAnsi="Times New Roman" w:cs="Times New Roman"/>
          <w:color w:val="000000" w:themeColor="text1"/>
          <w:sz w:val="24"/>
          <w:szCs w:val="24"/>
          <w:shd w:val="clear" w:color="auto" w:fill="FFFFFF"/>
        </w:rPr>
        <w:t>que, aunque</w:t>
      </w:r>
      <w:r w:rsidR="004E2005"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en materia de financiamiento, “entre 2000 y 2006 el gasto de la Secretaría de Salud se incrementó 72.5% en términos reales</w:t>
      </w:r>
      <w:proofErr w:type="gramStart"/>
      <w:r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vertAlign w:val="superscript"/>
        </w:rPr>
        <w:t>(</w:t>
      </w:r>
      <w:proofErr w:type="gramEnd"/>
      <w:r w:rsidR="0072452D" w:rsidRPr="006F14E7">
        <w:rPr>
          <w:rFonts w:ascii="Times New Roman" w:hAnsi="Times New Roman" w:cs="Times New Roman"/>
          <w:color w:val="000000" w:themeColor="text1"/>
          <w:sz w:val="24"/>
          <w:szCs w:val="24"/>
          <w:shd w:val="clear" w:color="auto" w:fill="FFFFFF"/>
          <w:vertAlign w:val="superscript"/>
        </w:rPr>
        <w:t>37</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dicho incremento no tuvo el impacto suficiente en materia de cobertura</w:t>
      </w:r>
      <w:r w:rsidR="00715CA8" w:rsidRPr="006F14E7">
        <w:rPr>
          <w:rFonts w:ascii="Times New Roman" w:hAnsi="Times New Roman" w:cs="Times New Roman"/>
          <w:color w:val="000000" w:themeColor="text1"/>
          <w:sz w:val="24"/>
          <w:szCs w:val="24"/>
          <w:shd w:val="clear" w:color="auto" w:fill="FFFFFF"/>
        </w:rPr>
        <w:t xml:space="preserve"> para los más pobres</w:t>
      </w:r>
      <w:r w:rsidRPr="006F14E7">
        <w:rPr>
          <w:rFonts w:ascii="Times New Roman" w:hAnsi="Times New Roman" w:cs="Times New Roman"/>
          <w:color w:val="000000" w:themeColor="text1"/>
          <w:sz w:val="24"/>
          <w:szCs w:val="24"/>
          <w:shd w:val="clear" w:color="auto" w:fill="FFFFFF"/>
        </w:rPr>
        <w:t>, pues s</w:t>
      </w:r>
      <w:r w:rsidR="00376DFA" w:rsidRPr="006F14E7">
        <w:rPr>
          <w:rFonts w:ascii="Times New Roman" w:hAnsi="Times New Roman" w:cs="Times New Roman"/>
          <w:color w:val="000000" w:themeColor="text1"/>
          <w:sz w:val="24"/>
          <w:szCs w:val="24"/>
          <w:shd w:val="clear" w:color="auto" w:fill="FFFFFF"/>
        </w:rPr>
        <w:t>o</w:t>
      </w:r>
      <w:r w:rsidRPr="006F14E7">
        <w:rPr>
          <w:rFonts w:ascii="Times New Roman" w:hAnsi="Times New Roman" w:cs="Times New Roman"/>
          <w:color w:val="000000" w:themeColor="text1"/>
          <w:sz w:val="24"/>
          <w:szCs w:val="24"/>
          <w:shd w:val="clear" w:color="auto" w:fill="FFFFFF"/>
        </w:rPr>
        <w:t>lo el 20% de los indígenas se encontraron afiliados al</w:t>
      </w:r>
      <w:r w:rsidR="00715CA8" w:rsidRPr="006F14E7">
        <w:rPr>
          <w:rFonts w:ascii="Times New Roman" w:hAnsi="Times New Roman" w:cs="Times New Roman"/>
          <w:color w:val="000000" w:themeColor="text1"/>
          <w:sz w:val="24"/>
          <w:szCs w:val="24"/>
          <w:shd w:val="clear" w:color="auto" w:fill="FFFFFF"/>
        </w:rPr>
        <w:t xml:space="preserve"> SPSS</w:t>
      </w:r>
      <w:r w:rsidRPr="006F14E7">
        <w:rPr>
          <w:rFonts w:ascii="Times New Roman" w:hAnsi="Times New Roman" w:cs="Times New Roman"/>
          <w:color w:val="000000" w:themeColor="text1"/>
          <w:sz w:val="24"/>
          <w:szCs w:val="24"/>
          <w:shd w:val="clear" w:color="auto" w:fill="FFFFFF"/>
        </w:rPr>
        <w:t xml:space="preserve">, </w:t>
      </w:r>
      <w:r w:rsidR="004E2005"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y s</w:t>
      </w:r>
      <w:r w:rsidR="00376DFA" w:rsidRPr="006F14E7">
        <w:rPr>
          <w:rFonts w:ascii="Times New Roman" w:hAnsi="Times New Roman" w:cs="Times New Roman"/>
          <w:color w:val="000000" w:themeColor="text1"/>
          <w:sz w:val="24"/>
          <w:szCs w:val="24"/>
          <w:shd w:val="clear" w:color="auto" w:fill="FFFFFF"/>
        </w:rPr>
        <w:t>o</w:t>
      </w:r>
      <w:r w:rsidRPr="006F14E7">
        <w:rPr>
          <w:rFonts w:ascii="Times New Roman" w:hAnsi="Times New Roman" w:cs="Times New Roman"/>
          <w:color w:val="000000" w:themeColor="text1"/>
          <w:sz w:val="24"/>
          <w:szCs w:val="24"/>
          <w:shd w:val="clear" w:color="auto" w:fill="FFFFFF"/>
        </w:rPr>
        <w:t xml:space="preserve">lo 9% contó con acceso a servicios </w:t>
      </w:r>
      <w:bookmarkStart w:id="9" w:name="_Hlk52180888"/>
      <w:r w:rsidRPr="006F14E7">
        <w:rPr>
          <w:rFonts w:ascii="Times New Roman" w:hAnsi="Times New Roman" w:cs="Times New Roman"/>
          <w:color w:val="000000" w:themeColor="text1"/>
          <w:sz w:val="24"/>
          <w:szCs w:val="24"/>
          <w:shd w:val="clear" w:color="auto" w:fill="FFFFFF"/>
        </w:rPr>
        <w:t>del IMSS-Oportunidades</w:t>
      </w:r>
      <w:bookmarkEnd w:id="9"/>
      <w:r w:rsidR="003D2C18"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16</w:t>
      </w:r>
      <w:r w:rsidR="00377E0A" w:rsidRPr="006F14E7">
        <w:rPr>
          <w:rFonts w:ascii="Times New Roman" w:hAnsi="Times New Roman" w:cs="Times New Roman"/>
          <w:color w:val="000000" w:themeColor="text1"/>
          <w:sz w:val="24"/>
          <w:szCs w:val="24"/>
          <w:shd w:val="clear" w:color="auto" w:fill="FFFFFF"/>
          <w:vertAlign w:val="superscript"/>
        </w:rPr>
        <w:t>)</w:t>
      </w:r>
      <w:r w:rsidR="00377E0A" w:rsidRPr="006F14E7">
        <w:rPr>
          <w:rFonts w:ascii="Times New Roman" w:hAnsi="Times New Roman" w:cs="Times New Roman"/>
          <w:color w:val="000000" w:themeColor="text1"/>
          <w:sz w:val="24"/>
          <w:szCs w:val="24"/>
          <w:shd w:val="clear" w:color="auto" w:fill="FFFFFF"/>
        </w:rPr>
        <w:t>.</w:t>
      </w:r>
    </w:p>
    <w:p w14:paraId="7300EC7C"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29D5B8ED" w14:textId="1622F7E9" w:rsidR="00CB0C2E"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Para el siguiente sexenio</w:t>
      </w:r>
      <w:r w:rsidR="00715CA8"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(2006-2012), además de continuar con los esquemas del SPSS, el Programa Nacional de Salud 2007-2012 consideró entre sus objetivos, “garantizar recursos financieros suficientes para llevar a cabo las acciones de protección contra riesgos sanitarios y promoción de la salud”</w:t>
      </w:r>
      <w:r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16</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Para dichos efectos el presupuesto de la Secretaría de Salud aumentó de 33</w:t>
      </w:r>
      <w:r w:rsidR="00377E0A"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rPr>
        <w:t>000 millones en 2003 a 150</w:t>
      </w:r>
      <w:r w:rsidR="002E6965" w:rsidRPr="006F14E7">
        <w:rPr>
          <w:rFonts w:ascii="Times New Roman" w:hAnsi="Times New Roman" w:cs="Times New Roman"/>
          <w:color w:val="000000" w:themeColor="text1"/>
          <w:sz w:val="24"/>
          <w:szCs w:val="24"/>
          <w:shd w:val="clear" w:color="auto" w:fill="FFFFFF"/>
        </w:rPr>
        <w:t>,</w:t>
      </w:r>
      <w:r w:rsidRPr="006F14E7">
        <w:rPr>
          <w:rFonts w:ascii="Times New Roman" w:hAnsi="Times New Roman" w:cs="Times New Roman"/>
          <w:color w:val="000000" w:themeColor="text1"/>
          <w:sz w:val="24"/>
          <w:szCs w:val="24"/>
          <w:shd w:val="clear" w:color="auto" w:fill="FFFFFF"/>
        </w:rPr>
        <w:t>000 millones en 2011</w:t>
      </w:r>
      <w:r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32</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Sin embargo, pese al incremento presupuestal, el 52% de los hogares mexicanos tuvieron gastos de bolsillo en salud en 2012</w:t>
      </w:r>
      <w:r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41</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r w:rsidR="00CB0C2E" w:rsidRPr="006F14E7">
        <w:rPr>
          <w:rFonts w:ascii="Times New Roman" w:hAnsi="Times New Roman" w:cs="Times New Roman"/>
          <w:color w:val="000000" w:themeColor="text1"/>
          <w:sz w:val="24"/>
          <w:szCs w:val="24"/>
          <w:shd w:val="clear" w:color="auto" w:fill="FFFFFF"/>
        </w:rPr>
        <w:t xml:space="preserve"> Situación que coincidió con las 10,000 farmacias que ofrecieron consultas médicas en 2012, el equivalente al 43% de las farmacias. De hecho, entre 2010 y 2012, las farmacias con consultorios crecieron 130%, mismas que atendieron al 7% de la población mexicana </w:t>
      </w:r>
      <w:proofErr w:type="gramStart"/>
      <w:r w:rsidR="00CB0C2E" w:rsidRPr="006F14E7">
        <w:rPr>
          <w:rFonts w:ascii="Times New Roman" w:hAnsi="Times New Roman" w:cs="Times New Roman"/>
          <w:color w:val="000000" w:themeColor="text1"/>
          <w:sz w:val="24"/>
          <w:szCs w:val="24"/>
          <w:shd w:val="clear" w:color="auto" w:fill="FFFFFF"/>
        </w:rPr>
        <w:t>mensualmente</w:t>
      </w:r>
      <w:r w:rsidR="00CB0C2E" w:rsidRPr="006F14E7">
        <w:rPr>
          <w:rFonts w:ascii="Times New Roman" w:hAnsi="Times New Roman" w:cs="Times New Roman"/>
          <w:color w:val="000000" w:themeColor="text1"/>
          <w:sz w:val="24"/>
          <w:szCs w:val="24"/>
          <w:shd w:val="clear" w:color="auto" w:fill="FFFFFF"/>
          <w:vertAlign w:val="superscript"/>
        </w:rPr>
        <w:t>(</w:t>
      </w:r>
      <w:proofErr w:type="gramEnd"/>
      <w:r w:rsidR="006651F6" w:rsidRPr="006F14E7">
        <w:rPr>
          <w:rFonts w:ascii="Times New Roman" w:hAnsi="Times New Roman" w:cs="Times New Roman"/>
          <w:color w:val="000000" w:themeColor="text1"/>
          <w:sz w:val="24"/>
          <w:szCs w:val="24"/>
          <w:shd w:val="clear" w:color="auto" w:fill="FFFFFF"/>
          <w:vertAlign w:val="superscript"/>
        </w:rPr>
        <w:t>9</w:t>
      </w:r>
      <w:r w:rsidR="00CB0C2E" w:rsidRPr="006F14E7">
        <w:rPr>
          <w:rFonts w:ascii="Times New Roman" w:hAnsi="Times New Roman" w:cs="Times New Roman"/>
          <w:color w:val="000000" w:themeColor="text1"/>
          <w:sz w:val="24"/>
          <w:szCs w:val="24"/>
          <w:shd w:val="clear" w:color="auto" w:fill="FFFFFF"/>
          <w:vertAlign w:val="superscript"/>
        </w:rPr>
        <w:t>)</w:t>
      </w:r>
      <w:r w:rsidR="00CB0C2E" w:rsidRPr="006F14E7">
        <w:rPr>
          <w:rFonts w:ascii="Times New Roman" w:hAnsi="Times New Roman" w:cs="Times New Roman"/>
          <w:color w:val="000000" w:themeColor="text1"/>
          <w:sz w:val="24"/>
          <w:szCs w:val="24"/>
          <w:shd w:val="clear" w:color="auto" w:fill="FFFFFF"/>
        </w:rPr>
        <w:t xml:space="preserve">. </w:t>
      </w:r>
    </w:p>
    <w:p w14:paraId="22D1A116" w14:textId="2C7FEF0B" w:rsidR="00332A78" w:rsidRPr="006F14E7" w:rsidRDefault="004B0E1A"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 </w:t>
      </w:r>
    </w:p>
    <w:p w14:paraId="5E091F4A" w14:textId="7FDD91CD" w:rsidR="006B38C9" w:rsidRPr="006F14E7" w:rsidRDefault="00715CA8"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En cuanto a la continua búsqueda de una</w:t>
      </w:r>
      <w:r w:rsidR="006B38C9" w:rsidRPr="006F14E7">
        <w:rPr>
          <w:rFonts w:ascii="Times New Roman" w:hAnsi="Times New Roman" w:cs="Times New Roman"/>
          <w:color w:val="000000" w:themeColor="text1"/>
          <w:sz w:val="24"/>
          <w:szCs w:val="24"/>
          <w:shd w:val="clear" w:color="auto" w:fill="FFFFFF"/>
        </w:rPr>
        <w:t xml:space="preserve"> cobertura universal en salud, </w:t>
      </w:r>
      <w:r w:rsidRPr="006F14E7">
        <w:rPr>
          <w:rFonts w:ascii="Times New Roman" w:hAnsi="Times New Roman" w:cs="Times New Roman"/>
          <w:color w:val="000000" w:themeColor="text1"/>
          <w:sz w:val="24"/>
          <w:szCs w:val="24"/>
          <w:shd w:val="clear" w:color="auto" w:fill="FFFFFF"/>
        </w:rPr>
        <w:t xml:space="preserve">se observaron importantes avances, pues </w:t>
      </w:r>
      <w:r w:rsidR="006B38C9" w:rsidRPr="006F14E7">
        <w:rPr>
          <w:rFonts w:ascii="Times New Roman" w:hAnsi="Times New Roman" w:cs="Times New Roman"/>
          <w:color w:val="000000" w:themeColor="text1"/>
          <w:sz w:val="24"/>
          <w:szCs w:val="24"/>
          <w:shd w:val="clear" w:color="auto" w:fill="FFFFFF"/>
        </w:rPr>
        <w:t xml:space="preserve">el número de afiliados pasó de 30 millones en 2006 a más de 50 millones al finalizar el sexenio </w:t>
      </w:r>
      <w:r w:rsidR="006B38C9"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32</w:t>
      </w:r>
      <w:r w:rsidR="006B38C9"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incluso </w:t>
      </w:r>
      <w:r w:rsidR="006B38C9" w:rsidRPr="006F14E7">
        <w:rPr>
          <w:rFonts w:ascii="Times New Roman" w:hAnsi="Times New Roman" w:cs="Times New Roman"/>
          <w:color w:val="000000" w:themeColor="text1"/>
          <w:sz w:val="24"/>
          <w:szCs w:val="24"/>
          <w:shd w:val="clear" w:color="auto" w:fill="FFFFFF"/>
        </w:rPr>
        <w:t xml:space="preserve">el número de intervenciones a la </w:t>
      </w:r>
      <w:r w:rsidR="006E19EB" w:rsidRPr="006F14E7">
        <w:rPr>
          <w:rFonts w:ascii="Times New Roman" w:hAnsi="Times New Roman" w:cs="Times New Roman"/>
          <w:color w:val="000000" w:themeColor="text1"/>
          <w:sz w:val="24"/>
          <w:szCs w:val="24"/>
          <w:shd w:val="clear" w:color="auto" w:fill="FFFFFF"/>
        </w:rPr>
        <w:t>que tuvieron</w:t>
      </w:r>
      <w:r w:rsidR="006B38C9" w:rsidRPr="006F14E7">
        <w:rPr>
          <w:rFonts w:ascii="Times New Roman" w:hAnsi="Times New Roman" w:cs="Times New Roman"/>
          <w:color w:val="000000" w:themeColor="text1"/>
          <w:sz w:val="24"/>
          <w:szCs w:val="24"/>
          <w:shd w:val="clear" w:color="auto" w:fill="FFFFFF"/>
        </w:rPr>
        <w:t xml:space="preserve"> los afiliados al SPSS pasó de 249 a 284</w:t>
      </w:r>
      <w:r w:rsidR="006B38C9"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37</w:t>
      </w:r>
      <w:r w:rsidR="006B38C9"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w:t>
      </w:r>
      <w:r w:rsidR="005A49F7" w:rsidRPr="006F14E7">
        <w:rPr>
          <w:rFonts w:ascii="Times New Roman" w:hAnsi="Times New Roman" w:cs="Times New Roman"/>
          <w:color w:val="000000" w:themeColor="text1"/>
          <w:sz w:val="24"/>
          <w:szCs w:val="24"/>
          <w:shd w:val="clear" w:color="auto" w:fill="FFFFFF"/>
        </w:rPr>
        <w:t xml:space="preserve"> no obstante,</w:t>
      </w:r>
      <w:r w:rsidR="006B38C9" w:rsidRPr="006F14E7">
        <w:rPr>
          <w:rFonts w:ascii="Times New Roman" w:hAnsi="Times New Roman" w:cs="Times New Roman"/>
          <w:color w:val="000000" w:themeColor="text1"/>
          <w:sz w:val="24"/>
          <w:szCs w:val="24"/>
          <w:shd w:val="clear" w:color="auto" w:fill="FFFFFF"/>
        </w:rPr>
        <w:t xml:space="preserve"> hasta el año 2012 el 21 % de los mexicanos permanecieron desprovistos del acceso a servicios </w:t>
      </w:r>
      <w:proofErr w:type="gramStart"/>
      <w:r w:rsidR="006B38C9" w:rsidRPr="006F14E7">
        <w:rPr>
          <w:rFonts w:ascii="Times New Roman" w:hAnsi="Times New Roman" w:cs="Times New Roman"/>
          <w:color w:val="000000" w:themeColor="text1"/>
          <w:sz w:val="24"/>
          <w:szCs w:val="24"/>
          <w:shd w:val="clear" w:color="auto" w:fill="FFFFFF"/>
        </w:rPr>
        <w:t>médicos</w:t>
      </w:r>
      <w:r w:rsidR="006B38C9" w:rsidRPr="006F14E7">
        <w:rPr>
          <w:rFonts w:ascii="Times New Roman" w:hAnsi="Times New Roman" w:cs="Times New Roman"/>
          <w:color w:val="000000" w:themeColor="text1"/>
          <w:sz w:val="24"/>
          <w:szCs w:val="24"/>
          <w:shd w:val="clear" w:color="auto" w:fill="FFFFFF"/>
          <w:vertAlign w:val="superscript"/>
        </w:rPr>
        <w:t>(</w:t>
      </w:r>
      <w:proofErr w:type="gramEnd"/>
      <w:r w:rsidR="006651F6" w:rsidRPr="006F14E7">
        <w:rPr>
          <w:rFonts w:ascii="Times New Roman" w:hAnsi="Times New Roman" w:cs="Times New Roman"/>
          <w:color w:val="000000" w:themeColor="text1"/>
          <w:sz w:val="24"/>
          <w:szCs w:val="24"/>
          <w:shd w:val="clear" w:color="auto" w:fill="FFFFFF"/>
          <w:vertAlign w:val="superscript"/>
        </w:rPr>
        <w:t>41</w:t>
      </w:r>
      <w:r w:rsidR="006B38C9" w:rsidRPr="006F14E7">
        <w:rPr>
          <w:rFonts w:ascii="Times New Roman" w:hAnsi="Times New Roman" w:cs="Times New Roman"/>
          <w:color w:val="000000" w:themeColor="text1"/>
          <w:sz w:val="24"/>
          <w:szCs w:val="24"/>
          <w:shd w:val="clear" w:color="auto" w:fill="FFFFFF"/>
          <w:vertAlign w:val="superscript"/>
        </w:rPr>
        <w:t>)</w:t>
      </w:r>
      <w:r w:rsidR="006E19EB" w:rsidRPr="006F14E7">
        <w:rPr>
          <w:rFonts w:ascii="Times New Roman" w:hAnsi="Times New Roman" w:cs="Times New Roman"/>
          <w:color w:val="000000" w:themeColor="text1"/>
          <w:sz w:val="24"/>
          <w:szCs w:val="24"/>
          <w:shd w:val="clear" w:color="auto" w:fill="FFFFFF"/>
        </w:rPr>
        <w:t>.</w:t>
      </w:r>
    </w:p>
    <w:p w14:paraId="2750C4C6" w14:textId="77777777" w:rsidR="006761C0" w:rsidRPr="006F14E7" w:rsidRDefault="006761C0"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2C2AE337" w14:textId="3A93DA11" w:rsidR="006E19EB" w:rsidRPr="006F14E7" w:rsidRDefault="006B38C9"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Con relación al 2013</w:t>
      </w:r>
      <w:r w:rsidR="00377E0A"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w:t>
      </w:r>
      <w:r w:rsidR="00377E0A" w:rsidRPr="006F14E7">
        <w:rPr>
          <w:rFonts w:ascii="Times New Roman" w:hAnsi="Times New Roman" w:cs="Times New Roman"/>
          <w:color w:val="000000" w:themeColor="text1"/>
          <w:sz w:val="24"/>
          <w:szCs w:val="24"/>
          <w:shd w:val="clear" w:color="auto" w:fill="FFFFFF"/>
        </w:rPr>
        <w:t xml:space="preserve"> </w:t>
      </w:r>
      <w:r w:rsidRPr="006F14E7">
        <w:rPr>
          <w:rFonts w:ascii="Times New Roman" w:hAnsi="Times New Roman" w:cs="Times New Roman"/>
          <w:color w:val="000000" w:themeColor="text1"/>
          <w:sz w:val="24"/>
          <w:szCs w:val="24"/>
          <w:shd w:val="clear" w:color="auto" w:fill="FFFFFF"/>
        </w:rPr>
        <w:t xml:space="preserve">2018, se consideraron estrategias encaminadas a cerrar las brechas existentes en salud entre diferentes grupos sociales </w:t>
      </w:r>
      <w:r w:rsidR="005A49F7" w:rsidRPr="006F14E7">
        <w:rPr>
          <w:rFonts w:ascii="Times New Roman" w:hAnsi="Times New Roman" w:cs="Times New Roman"/>
          <w:color w:val="000000" w:themeColor="text1"/>
          <w:sz w:val="24"/>
          <w:szCs w:val="24"/>
          <w:shd w:val="clear" w:color="auto" w:fill="FFFFFF"/>
        </w:rPr>
        <w:t xml:space="preserve">en el </w:t>
      </w:r>
      <w:r w:rsidRPr="006F14E7">
        <w:rPr>
          <w:rFonts w:ascii="Times New Roman" w:hAnsi="Times New Roman" w:cs="Times New Roman"/>
          <w:color w:val="000000" w:themeColor="text1"/>
          <w:sz w:val="24"/>
          <w:szCs w:val="24"/>
          <w:shd w:val="clear" w:color="auto" w:fill="FFFFFF"/>
        </w:rPr>
        <w:t xml:space="preserve">país, así como </w:t>
      </w:r>
      <w:r w:rsidR="005A49F7" w:rsidRPr="006F14E7">
        <w:rPr>
          <w:rFonts w:ascii="Times New Roman" w:hAnsi="Times New Roman" w:cs="Times New Roman"/>
          <w:color w:val="000000" w:themeColor="text1"/>
          <w:sz w:val="24"/>
          <w:szCs w:val="24"/>
          <w:shd w:val="clear" w:color="auto" w:fill="FFFFFF"/>
        </w:rPr>
        <w:t>en</w:t>
      </w:r>
      <w:r w:rsidRPr="006F14E7">
        <w:rPr>
          <w:rFonts w:ascii="Times New Roman" w:hAnsi="Times New Roman" w:cs="Times New Roman"/>
          <w:color w:val="000000" w:themeColor="text1"/>
          <w:sz w:val="24"/>
          <w:szCs w:val="24"/>
          <w:shd w:val="clear" w:color="auto" w:fill="FFFFFF"/>
        </w:rPr>
        <w:t xml:space="preserve"> el control del rezago, y atender a grupos en condición de vulnerabilidad </w:t>
      </w:r>
      <w:r w:rsidRPr="006F14E7">
        <w:rPr>
          <w:rFonts w:ascii="Times New Roman" w:hAnsi="Times New Roman" w:cs="Times New Roman"/>
          <w:color w:val="000000" w:themeColor="text1"/>
          <w:sz w:val="24"/>
          <w:szCs w:val="24"/>
          <w:shd w:val="clear" w:color="auto" w:fill="FFFFFF"/>
          <w:vertAlign w:val="superscript"/>
        </w:rPr>
        <w:t>(</w:t>
      </w:r>
      <w:r w:rsidR="006651F6" w:rsidRPr="006F14E7">
        <w:rPr>
          <w:rFonts w:ascii="Times New Roman" w:hAnsi="Times New Roman" w:cs="Times New Roman"/>
          <w:color w:val="000000" w:themeColor="text1"/>
          <w:sz w:val="24"/>
          <w:szCs w:val="24"/>
          <w:shd w:val="clear" w:color="auto" w:fill="FFFFFF"/>
          <w:vertAlign w:val="superscript"/>
        </w:rPr>
        <w:t>9</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xml:space="preserve">. Para ello, </w:t>
      </w:r>
      <w:r w:rsidR="005A49F7" w:rsidRPr="006F14E7">
        <w:rPr>
          <w:rFonts w:ascii="Times New Roman" w:hAnsi="Times New Roman" w:cs="Times New Roman"/>
          <w:color w:val="000000" w:themeColor="text1"/>
          <w:sz w:val="24"/>
          <w:szCs w:val="24"/>
          <w:shd w:val="clear" w:color="auto" w:fill="FFFFFF"/>
        </w:rPr>
        <w:t>vinculó</w:t>
      </w:r>
      <w:r w:rsidRPr="006F14E7">
        <w:rPr>
          <w:rFonts w:ascii="Times New Roman" w:hAnsi="Times New Roman" w:cs="Times New Roman"/>
          <w:color w:val="000000" w:themeColor="text1"/>
          <w:sz w:val="24"/>
          <w:szCs w:val="24"/>
          <w:shd w:val="clear" w:color="auto" w:fill="FFFFFF"/>
        </w:rPr>
        <w:t xml:space="preserve"> al SPSS </w:t>
      </w:r>
      <w:r w:rsidR="005A49F7" w:rsidRPr="006F14E7">
        <w:rPr>
          <w:rFonts w:ascii="Times New Roman" w:hAnsi="Times New Roman" w:cs="Times New Roman"/>
          <w:color w:val="000000" w:themeColor="text1"/>
          <w:sz w:val="24"/>
          <w:szCs w:val="24"/>
          <w:shd w:val="clear" w:color="auto" w:fill="FFFFFF"/>
        </w:rPr>
        <w:t>con otras</w:t>
      </w:r>
      <w:r w:rsidRPr="006F14E7">
        <w:rPr>
          <w:rFonts w:ascii="Times New Roman" w:hAnsi="Times New Roman" w:cs="Times New Roman"/>
          <w:color w:val="000000" w:themeColor="text1"/>
          <w:sz w:val="24"/>
          <w:szCs w:val="24"/>
          <w:shd w:val="clear" w:color="auto" w:fill="FFFFFF"/>
        </w:rPr>
        <w:t xml:space="preserve"> estrategias intersectoriales, como fue la Cruzada contra el Hambre, compuesta por </w:t>
      </w:r>
      <w:r w:rsidRPr="006F14E7">
        <w:rPr>
          <w:rFonts w:ascii="Times New Roman" w:hAnsi="Times New Roman" w:cs="Times New Roman"/>
          <w:color w:val="000000" w:themeColor="text1"/>
          <w:sz w:val="24"/>
          <w:szCs w:val="24"/>
          <w:shd w:val="clear" w:color="auto" w:fill="FFFFFF"/>
        </w:rPr>
        <w:lastRenderedPageBreak/>
        <w:t>diversos programas, entre los cuales se consideró el Programa PROSPERA</w:t>
      </w:r>
      <w:r w:rsidR="005A49F7" w:rsidRPr="006F14E7">
        <w:rPr>
          <w:rFonts w:ascii="Times New Roman" w:hAnsi="Times New Roman" w:cs="Times New Roman"/>
          <w:color w:val="000000" w:themeColor="text1"/>
          <w:sz w:val="24"/>
          <w:szCs w:val="24"/>
          <w:shd w:val="clear" w:color="auto" w:fill="FFFFFF"/>
        </w:rPr>
        <w:t xml:space="preserve"> (Salud, alimentación y educación)</w:t>
      </w:r>
      <w:r w:rsidRPr="006F14E7">
        <w:rPr>
          <w:rFonts w:ascii="Times New Roman" w:hAnsi="Times New Roman" w:cs="Times New Roman"/>
          <w:color w:val="000000" w:themeColor="text1"/>
          <w:sz w:val="24"/>
          <w:szCs w:val="24"/>
          <w:shd w:val="clear" w:color="auto" w:fill="FFFFFF"/>
        </w:rPr>
        <w:t xml:space="preserve">. No obstante, de los 7.4 millones de mexicanos inscritos en la Cruzada Nacional contra el Hambre, 3.8 millones no contaron con afiliación al </w:t>
      </w:r>
      <w:proofErr w:type="gramStart"/>
      <w:r w:rsidRPr="006F14E7">
        <w:rPr>
          <w:rFonts w:ascii="Times New Roman" w:hAnsi="Times New Roman" w:cs="Times New Roman"/>
          <w:color w:val="000000" w:themeColor="text1"/>
          <w:sz w:val="24"/>
          <w:szCs w:val="24"/>
          <w:shd w:val="clear" w:color="auto" w:fill="FFFFFF"/>
        </w:rPr>
        <w:t>SPSS</w:t>
      </w:r>
      <w:r w:rsidR="00377E0A" w:rsidRPr="006F14E7">
        <w:rPr>
          <w:rFonts w:ascii="Times New Roman" w:hAnsi="Times New Roman" w:cs="Times New Roman"/>
          <w:color w:val="000000" w:themeColor="text1"/>
          <w:sz w:val="24"/>
          <w:szCs w:val="24"/>
          <w:shd w:val="clear" w:color="auto" w:fill="FFFFFF"/>
          <w:vertAlign w:val="superscript"/>
        </w:rPr>
        <w:t>(</w:t>
      </w:r>
      <w:proofErr w:type="gramEnd"/>
      <w:r w:rsidR="006651F6" w:rsidRPr="006F14E7">
        <w:rPr>
          <w:rFonts w:ascii="Times New Roman" w:hAnsi="Times New Roman" w:cs="Times New Roman"/>
          <w:color w:val="000000" w:themeColor="text1"/>
          <w:sz w:val="24"/>
          <w:szCs w:val="24"/>
          <w:shd w:val="clear" w:color="auto" w:fill="FFFFFF"/>
          <w:vertAlign w:val="superscript"/>
        </w:rPr>
        <w:t>9</w:t>
      </w:r>
      <w:r w:rsidR="00377E0A"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w:t>
      </w:r>
    </w:p>
    <w:p w14:paraId="34EB5BD6" w14:textId="442EEAEC" w:rsidR="005A49F7" w:rsidRPr="006F14E7" w:rsidRDefault="005A49F7"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3C912F2A" w14:textId="6CE8CC2C" w:rsidR="005A49F7" w:rsidRPr="006F14E7" w:rsidRDefault="005A49F7"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Por su parte, la atención a la salud se sujetó finalmente a la reducida concepción de los llamados parámetros de suficiencia, promovidos por las definiciones de cobertura sanitaria universal de la </w:t>
      </w:r>
      <w:proofErr w:type="gramStart"/>
      <w:r w:rsidRPr="006F14E7">
        <w:rPr>
          <w:rFonts w:ascii="Times New Roman" w:hAnsi="Times New Roman" w:cs="Times New Roman"/>
          <w:color w:val="000000" w:themeColor="text1"/>
          <w:sz w:val="24"/>
          <w:szCs w:val="24"/>
          <w:shd w:val="clear" w:color="auto" w:fill="FFFFFF"/>
        </w:rPr>
        <w:t>OMS</w:t>
      </w:r>
      <w:r w:rsidRPr="006F14E7">
        <w:rPr>
          <w:rFonts w:ascii="Times New Roman" w:hAnsi="Times New Roman" w:cs="Times New Roman"/>
          <w:color w:val="000000" w:themeColor="text1"/>
          <w:sz w:val="24"/>
          <w:szCs w:val="24"/>
          <w:shd w:val="clear" w:color="auto" w:fill="FFFFFF"/>
          <w:vertAlign w:val="superscript"/>
        </w:rPr>
        <w:t>(</w:t>
      </w:r>
      <w:proofErr w:type="gramEnd"/>
      <w:r w:rsidR="006651F6" w:rsidRPr="006F14E7">
        <w:rPr>
          <w:rFonts w:ascii="Times New Roman" w:hAnsi="Times New Roman" w:cs="Times New Roman"/>
          <w:color w:val="000000" w:themeColor="text1"/>
          <w:sz w:val="24"/>
          <w:szCs w:val="24"/>
          <w:shd w:val="clear" w:color="auto" w:fill="FFFFFF"/>
          <w:vertAlign w:val="superscript"/>
        </w:rPr>
        <w:t>42</w:t>
      </w:r>
      <w:r w:rsidRPr="006F14E7">
        <w:rPr>
          <w:rFonts w:ascii="Times New Roman" w:hAnsi="Times New Roman" w:cs="Times New Roman"/>
          <w:color w:val="000000" w:themeColor="text1"/>
          <w:sz w:val="24"/>
          <w:szCs w:val="24"/>
          <w:shd w:val="clear" w:color="auto" w:fill="FFFFFF"/>
          <w:vertAlign w:val="superscript"/>
        </w:rPr>
        <w:t xml:space="preserve">) </w:t>
      </w:r>
      <w:r w:rsidRPr="006F14E7">
        <w:rPr>
          <w:rFonts w:ascii="Times New Roman" w:hAnsi="Times New Roman" w:cs="Times New Roman"/>
          <w:color w:val="000000" w:themeColor="text1"/>
          <w:sz w:val="24"/>
          <w:szCs w:val="24"/>
          <w:shd w:val="clear" w:color="auto" w:fill="FFFFFF"/>
        </w:rPr>
        <w:t>y de la OPS</w:t>
      </w:r>
      <w:r w:rsidR="006651F6" w:rsidRPr="006F14E7">
        <w:rPr>
          <w:rFonts w:ascii="Times New Roman" w:hAnsi="Times New Roman" w:cs="Times New Roman"/>
          <w:color w:val="000000" w:themeColor="text1"/>
          <w:sz w:val="24"/>
          <w:szCs w:val="24"/>
          <w:shd w:val="clear" w:color="auto" w:fill="FFFFFF"/>
          <w:vertAlign w:val="superscript"/>
        </w:rPr>
        <w:t>(44</w:t>
      </w:r>
      <w:r w:rsidRPr="006F14E7">
        <w:rPr>
          <w:rFonts w:ascii="Times New Roman" w:hAnsi="Times New Roman" w:cs="Times New Roman"/>
          <w:color w:val="000000" w:themeColor="text1"/>
          <w:sz w:val="24"/>
          <w:szCs w:val="24"/>
          <w:shd w:val="clear" w:color="auto" w:fill="FFFFFF"/>
          <w:vertAlign w:val="superscript"/>
        </w:rPr>
        <w:t>)</w:t>
      </w:r>
      <w:r w:rsidRPr="006F14E7">
        <w:rPr>
          <w:rFonts w:ascii="Times New Roman" w:hAnsi="Times New Roman" w:cs="Times New Roman"/>
          <w:color w:val="000000" w:themeColor="text1"/>
          <w:sz w:val="24"/>
          <w:szCs w:val="24"/>
          <w:shd w:val="clear" w:color="auto" w:fill="FFFFFF"/>
        </w:rPr>
        <w:t>, degradando entonces el derecho a la salud que constitucionalmente se les otorgó a los ciudadanos mexicanos desde 1983.</w:t>
      </w:r>
    </w:p>
    <w:p w14:paraId="694F6D31" w14:textId="77777777" w:rsidR="00CB0C2E" w:rsidRPr="006F14E7" w:rsidRDefault="00CB0C2E"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7961B2B3" w14:textId="6F65A456" w:rsidR="006B38C9" w:rsidRPr="006F14E7" w:rsidRDefault="006E19EB"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F14E7">
        <w:rPr>
          <w:rFonts w:ascii="Times New Roman" w:hAnsi="Times New Roman" w:cs="Times New Roman"/>
          <w:color w:val="000000" w:themeColor="text1"/>
          <w:sz w:val="24"/>
          <w:szCs w:val="24"/>
          <w:shd w:val="clear" w:color="auto" w:fill="FFFFFF"/>
        </w:rPr>
        <w:t xml:space="preserve">Al finalizar el sexenio </w:t>
      </w:r>
      <w:r w:rsidR="006B38C9" w:rsidRPr="006F14E7">
        <w:rPr>
          <w:rFonts w:ascii="Times New Roman" w:hAnsi="Times New Roman" w:cs="Times New Roman"/>
          <w:color w:val="000000" w:themeColor="text1"/>
          <w:sz w:val="24"/>
          <w:szCs w:val="24"/>
          <w:shd w:val="clear" w:color="auto" w:fill="FFFFFF"/>
        </w:rPr>
        <w:t xml:space="preserve">los afiliados al SPSS representaron el 37.4% de la población, mientras que solo el 42.4% de la población tuvo acceso a servicios otorgados por parte de instituciones de seguridad social, así como un 18.7% sin acceso a alguna institución y un 1.2% asistiendo permanentemente a servicios </w:t>
      </w:r>
      <w:proofErr w:type="gramStart"/>
      <w:r w:rsidR="006B38C9" w:rsidRPr="006F14E7">
        <w:rPr>
          <w:rFonts w:ascii="Times New Roman" w:hAnsi="Times New Roman" w:cs="Times New Roman"/>
          <w:color w:val="000000" w:themeColor="text1"/>
          <w:sz w:val="24"/>
          <w:szCs w:val="24"/>
          <w:shd w:val="clear" w:color="auto" w:fill="FFFFFF"/>
        </w:rPr>
        <w:t>privados</w:t>
      </w:r>
      <w:r w:rsidR="006651F6" w:rsidRPr="006F14E7">
        <w:rPr>
          <w:rFonts w:ascii="Times New Roman" w:hAnsi="Times New Roman" w:cs="Times New Roman"/>
          <w:color w:val="000000" w:themeColor="text1"/>
          <w:sz w:val="24"/>
          <w:szCs w:val="24"/>
          <w:shd w:val="clear" w:color="auto" w:fill="FFFFFF"/>
          <w:vertAlign w:val="superscript"/>
        </w:rPr>
        <w:t>(</w:t>
      </w:r>
      <w:proofErr w:type="gramEnd"/>
      <w:r w:rsidR="006651F6" w:rsidRPr="006F14E7">
        <w:rPr>
          <w:rFonts w:ascii="Times New Roman" w:hAnsi="Times New Roman" w:cs="Times New Roman"/>
          <w:color w:val="000000" w:themeColor="text1"/>
          <w:sz w:val="24"/>
          <w:szCs w:val="24"/>
          <w:shd w:val="clear" w:color="auto" w:fill="FFFFFF"/>
          <w:vertAlign w:val="superscript"/>
        </w:rPr>
        <w:t>37</w:t>
      </w:r>
      <w:r w:rsidR="00CB0C2E" w:rsidRPr="006F14E7">
        <w:rPr>
          <w:rFonts w:ascii="Times New Roman" w:hAnsi="Times New Roman" w:cs="Times New Roman"/>
          <w:color w:val="000000" w:themeColor="text1"/>
          <w:sz w:val="24"/>
          <w:szCs w:val="24"/>
          <w:shd w:val="clear" w:color="auto" w:fill="FFFFFF"/>
          <w:vertAlign w:val="superscript"/>
        </w:rPr>
        <w:t>)</w:t>
      </w:r>
      <w:r w:rsidR="006B38C9" w:rsidRPr="006F14E7">
        <w:rPr>
          <w:rFonts w:ascii="Times New Roman" w:hAnsi="Times New Roman" w:cs="Times New Roman"/>
          <w:color w:val="000000" w:themeColor="text1"/>
          <w:sz w:val="24"/>
          <w:szCs w:val="24"/>
          <w:shd w:val="clear" w:color="auto" w:fill="FFFFFF"/>
        </w:rPr>
        <w:t>.</w:t>
      </w:r>
    </w:p>
    <w:p w14:paraId="516AE770" w14:textId="77777777" w:rsidR="00CB0C2E" w:rsidRPr="006F14E7" w:rsidRDefault="00CB0C2E" w:rsidP="009E3B5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1D5D196D" w14:textId="135C17B7"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0689306B" wp14:editId="76DF45D5">
            <wp:extent cx="5253990" cy="1924050"/>
            <wp:effectExtent l="0" t="0" r="3810" b="0"/>
            <wp:docPr id="491230792" name="Gráfico 49123079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7719A026-7000-49C1-A05F-875070333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F14E7">
        <w:rPr>
          <w:rFonts w:ascii="Times New Roman" w:hAnsi="Times New Roman" w:cs="Times New Roman"/>
          <w:b/>
          <w:bCs/>
        </w:rPr>
        <w:t>Fuente</w:t>
      </w:r>
      <w:r w:rsidRPr="006F14E7">
        <w:rPr>
          <w:rFonts w:ascii="Times New Roman" w:hAnsi="Times New Roman" w:cs="Times New Roman"/>
        </w:rPr>
        <w:t>: Elaboración propia (</w:t>
      </w:r>
      <w:r w:rsidR="009372D7" w:rsidRPr="006F14E7">
        <w:rPr>
          <w:rFonts w:ascii="Times New Roman" w:hAnsi="Times New Roman" w:cs="Times New Roman"/>
        </w:rPr>
        <w:t>SEGOB</w:t>
      </w:r>
      <w:r w:rsidRPr="006F14E7">
        <w:rPr>
          <w:rFonts w:ascii="Times New Roman" w:hAnsi="Times New Roman" w:cs="Times New Roman"/>
        </w:rPr>
        <w:t xml:space="preserve">, 1984, </w:t>
      </w:r>
      <w:r w:rsidR="009372D7" w:rsidRPr="006F14E7">
        <w:rPr>
          <w:rFonts w:ascii="Times New Roman" w:hAnsi="Times New Roman" w:cs="Times New Roman"/>
        </w:rPr>
        <w:t>SEGOB</w:t>
      </w:r>
      <w:r w:rsidRPr="006F14E7">
        <w:rPr>
          <w:rFonts w:ascii="Times New Roman" w:hAnsi="Times New Roman" w:cs="Times New Roman"/>
        </w:rPr>
        <w:t xml:space="preserve">, 1995; </w:t>
      </w:r>
      <w:r w:rsidR="009372D7" w:rsidRPr="006F14E7">
        <w:rPr>
          <w:rFonts w:ascii="Times New Roman" w:hAnsi="Times New Roman" w:cs="Times New Roman"/>
        </w:rPr>
        <w:t>SEGOB</w:t>
      </w:r>
      <w:r w:rsidRPr="006F14E7">
        <w:rPr>
          <w:rFonts w:ascii="Times New Roman" w:hAnsi="Times New Roman" w:cs="Times New Roman"/>
        </w:rPr>
        <w:t xml:space="preserve">, 2001; </w:t>
      </w:r>
      <w:r w:rsidR="009372D7" w:rsidRPr="006F14E7">
        <w:rPr>
          <w:rFonts w:ascii="Times New Roman" w:hAnsi="Times New Roman" w:cs="Times New Roman"/>
        </w:rPr>
        <w:t xml:space="preserve">SEGOB, </w:t>
      </w:r>
      <w:r w:rsidRPr="006F14E7">
        <w:rPr>
          <w:rFonts w:ascii="Times New Roman" w:hAnsi="Times New Roman" w:cs="Times New Roman"/>
        </w:rPr>
        <w:t>2000; ENSANUT, 2006, ENSANUT, 2012, ENSANUT, 2020).</w:t>
      </w:r>
    </w:p>
    <w:p w14:paraId="4F0694A8" w14:textId="77777777" w:rsidR="00950495" w:rsidRPr="006F14E7" w:rsidRDefault="00950495" w:rsidP="009E3B50">
      <w:pPr>
        <w:spacing w:after="0" w:line="240" w:lineRule="auto"/>
        <w:jc w:val="both"/>
        <w:rPr>
          <w:rFonts w:ascii="Times New Roman" w:hAnsi="Times New Roman" w:cs="Times New Roman"/>
          <w:sz w:val="24"/>
          <w:szCs w:val="24"/>
        </w:rPr>
      </w:pPr>
    </w:p>
    <w:p w14:paraId="3483D49B" w14:textId="26FC8EE4" w:rsidR="00377E0A"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Cabe señalar que, para el año 2018 las entidades con mayor proporción de carencia por acceso a servicios de salud se registraron en la zona centro y sur de país, en la que </w:t>
      </w:r>
      <w:proofErr w:type="spellStart"/>
      <w:r w:rsidRPr="006F14E7">
        <w:rPr>
          <w:rFonts w:ascii="Times New Roman" w:hAnsi="Times New Roman" w:cs="Times New Roman"/>
          <w:sz w:val="24"/>
          <w:szCs w:val="24"/>
        </w:rPr>
        <w:t>Edo.Méx</w:t>
      </w:r>
      <w:proofErr w:type="spellEnd"/>
      <w:r w:rsidRPr="006F14E7">
        <w:rPr>
          <w:rFonts w:ascii="Times New Roman" w:hAnsi="Times New Roman" w:cs="Times New Roman"/>
          <w:sz w:val="24"/>
          <w:szCs w:val="24"/>
        </w:rPr>
        <w:t xml:space="preserve">., Michoacán y Puebla, duplicaron la proporción de población con este tipo de carencia con relación a estados como Baja California Sur, Colima y San Luis </w:t>
      </w:r>
      <w:proofErr w:type="gramStart"/>
      <w:r w:rsidRPr="006F14E7">
        <w:rPr>
          <w:rFonts w:ascii="Times New Roman" w:hAnsi="Times New Roman" w:cs="Times New Roman"/>
          <w:sz w:val="24"/>
          <w:szCs w:val="24"/>
        </w:rPr>
        <w:t>Potosí</w:t>
      </w:r>
      <w:r w:rsidRPr="006F14E7">
        <w:rPr>
          <w:rFonts w:ascii="Times New Roman" w:hAnsi="Times New Roman" w:cs="Times New Roman"/>
          <w:sz w:val="24"/>
          <w:szCs w:val="24"/>
          <w:vertAlign w:val="superscript"/>
        </w:rPr>
        <w:t>(</w:t>
      </w:r>
      <w:proofErr w:type="gramEnd"/>
      <w:r w:rsidR="006651F6" w:rsidRPr="006F14E7">
        <w:rPr>
          <w:rFonts w:ascii="Times New Roman" w:hAnsi="Times New Roman" w:cs="Times New Roman"/>
          <w:sz w:val="24"/>
          <w:szCs w:val="24"/>
          <w:vertAlign w:val="superscript"/>
        </w:rPr>
        <w:t>20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32E06D3C" w14:textId="77777777" w:rsidR="006B38C9" w:rsidRPr="006F14E7" w:rsidRDefault="006B38C9" w:rsidP="009E3B50">
      <w:pPr>
        <w:spacing w:after="0" w:line="240" w:lineRule="auto"/>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7248A79F" wp14:editId="6E86F131">
            <wp:extent cx="5594985" cy="2228850"/>
            <wp:effectExtent l="0" t="0" r="5715" b="0"/>
            <wp:docPr id="52" name="Gráfico 5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8206B9C-B6E3-4C96-9D8A-7A0C065BF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F14E7">
        <w:rPr>
          <w:rFonts w:ascii="Times New Roman" w:hAnsi="Times New Roman" w:cs="Times New Roman"/>
          <w:noProof/>
          <w:sz w:val="24"/>
          <w:szCs w:val="24"/>
        </w:rPr>
        <w:t xml:space="preserve">  </w:t>
      </w:r>
    </w:p>
    <w:p w14:paraId="0A3C0833" w14:textId="31C6143C" w:rsidR="0002109E" w:rsidRPr="006F14E7" w:rsidRDefault="006B38C9" w:rsidP="009E3B50">
      <w:pPr>
        <w:spacing w:after="0" w:line="240" w:lineRule="auto"/>
        <w:rPr>
          <w:rFonts w:ascii="Times New Roman" w:hAnsi="Times New Roman" w:cs="Times New Roman"/>
        </w:rPr>
      </w:pPr>
      <w:r w:rsidRPr="006F14E7">
        <w:rPr>
          <w:rFonts w:ascii="Times New Roman" w:hAnsi="Times New Roman" w:cs="Times New Roman"/>
          <w:b/>
          <w:bCs/>
        </w:rPr>
        <w:lastRenderedPageBreak/>
        <w:t>Fuente:</w:t>
      </w:r>
      <w:r w:rsidRPr="006F14E7">
        <w:rPr>
          <w:rFonts w:ascii="Times New Roman" w:hAnsi="Times New Roman" w:cs="Times New Roman"/>
        </w:rPr>
        <w:t xml:space="preserve"> Elaboración propia (</w:t>
      </w:r>
      <w:proofErr w:type="spellStart"/>
      <w:r w:rsidRPr="006F14E7">
        <w:rPr>
          <w:rFonts w:ascii="Times New Roman" w:hAnsi="Times New Roman" w:cs="Times New Roman"/>
        </w:rPr>
        <w:t>Coneval</w:t>
      </w:r>
      <w:proofErr w:type="spellEnd"/>
      <w:r w:rsidRPr="006F14E7">
        <w:rPr>
          <w:rFonts w:ascii="Times New Roman" w:hAnsi="Times New Roman" w:cs="Times New Roman"/>
        </w:rPr>
        <w:t>, 2020</w:t>
      </w:r>
      <w:r w:rsidR="00B0243D" w:rsidRPr="006F14E7">
        <w:rPr>
          <w:rFonts w:ascii="Times New Roman" w:hAnsi="Times New Roman" w:cs="Times New Roman"/>
        </w:rPr>
        <w:t>b</w:t>
      </w:r>
      <w:r w:rsidRPr="006F14E7">
        <w:rPr>
          <w:rFonts w:ascii="Times New Roman" w:hAnsi="Times New Roman" w:cs="Times New Roman"/>
        </w:rPr>
        <w:t>).</w:t>
      </w:r>
    </w:p>
    <w:p w14:paraId="17031B57" w14:textId="77777777" w:rsidR="00A46D95" w:rsidRPr="006F14E7" w:rsidRDefault="00A46D95" w:rsidP="009E3B50">
      <w:pPr>
        <w:spacing w:after="0" w:line="240" w:lineRule="auto"/>
        <w:rPr>
          <w:rFonts w:ascii="Times New Roman" w:hAnsi="Times New Roman" w:cs="Times New Roman"/>
          <w:sz w:val="24"/>
          <w:szCs w:val="24"/>
        </w:rPr>
      </w:pPr>
    </w:p>
    <w:p w14:paraId="252B94B5" w14:textId="273C6656" w:rsidR="006B38C9" w:rsidRPr="006F14E7" w:rsidRDefault="006B38C9" w:rsidP="009E3B50">
      <w:pPr>
        <w:pStyle w:val="Prrafodelista"/>
        <w:numPr>
          <w:ilvl w:val="0"/>
          <w:numId w:val="20"/>
        </w:numPr>
        <w:spacing w:after="0" w:line="240" w:lineRule="auto"/>
        <w:rPr>
          <w:rFonts w:ascii="Times New Roman" w:hAnsi="Times New Roman" w:cs="Times New Roman"/>
          <w:b/>
          <w:bCs/>
          <w:sz w:val="24"/>
          <w:szCs w:val="24"/>
        </w:rPr>
      </w:pPr>
      <w:r w:rsidRPr="006F14E7">
        <w:rPr>
          <w:rFonts w:ascii="Times New Roman" w:hAnsi="Times New Roman" w:cs="Times New Roman"/>
          <w:b/>
          <w:bCs/>
          <w:sz w:val="24"/>
          <w:szCs w:val="24"/>
        </w:rPr>
        <w:t>Carencia por acceso a servicios básicos de vivienda</w:t>
      </w:r>
    </w:p>
    <w:p w14:paraId="14741138" w14:textId="409812FD" w:rsidR="004F6D07" w:rsidRPr="006F14E7" w:rsidRDefault="004F6D07"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L</w:t>
      </w:r>
      <w:r w:rsidR="006B38C9" w:rsidRPr="006F14E7">
        <w:rPr>
          <w:rFonts w:ascii="Times New Roman" w:hAnsi="Times New Roman" w:cs="Times New Roman"/>
          <w:sz w:val="24"/>
          <w:szCs w:val="24"/>
        </w:rPr>
        <w:t xml:space="preserve">a vivienda, a nivel nacional en 1980, de los 12 millones de casas habitación existentes, solo el </w:t>
      </w:r>
      <w:bookmarkStart w:id="10" w:name="_Hlk54988155"/>
      <w:r w:rsidR="006B38C9" w:rsidRPr="006F14E7">
        <w:rPr>
          <w:rFonts w:ascii="Times New Roman" w:hAnsi="Times New Roman" w:cs="Times New Roman"/>
          <w:sz w:val="24"/>
          <w:szCs w:val="24"/>
        </w:rPr>
        <w:t>71%</w:t>
      </w:r>
      <w:bookmarkEnd w:id="10"/>
      <w:r w:rsidR="006B38C9" w:rsidRPr="006F14E7">
        <w:rPr>
          <w:rFonts w:ascii="Times New Roman" w:hAnsi="Times New Roman" w:cs="Times New Roman"/>
          <w:sz w:val="24"/>
          <w:szCs w:val="24"/>
        </w:rPr>
        <w:t xml:space="preserve"> tuvo agua entubada, el 49% contó con drenaje, mientras que solo el 75% con energía eléctrica. Sin embargo, solo en 10 estados el 50% de las viviendas contaron con servicio de drenaje, es decir, los 22 estados restantes contaron con una situación crítica </w:t>
      </w:r>
      <w:r w:rsidR="00CB0C2E" w:rsidRPr="006F14E7">
        <w:rPr>
          <w:rFonts w:ascii="Times New Roman" w:hAnsi="Times New Roman" w:cs="Times New Roman"/>
          <w:sz w:val="24"/>
          <w:szCs w:val="24"/>
        </w:rPr>
        <w:t>en la</w:t>
      </w:r>
      <w:r w:rsidR="006B38C9" w:rsidRPr="006F14E7">
        <w:rPr>
          <w:rFonts w:ascii="Times New Roman" w:hAnsi="Times New Roman" w:cs="Times New Roman"/>
          <w:sz w:val="24"/>
          <w:szCs w:val="24"/>
        </w:rPr>
        <w:t xml:space="preserve"> vivienda</w:t>
      </w:r>
      <w:bookmarkStart w:id="11" w:name="_Hlk54995922"/>
      <w:r w:rsidR="006B38C9"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vertAlign w:val="superscript"/>
        </w:rPr>
        <w:t>(</w:t>
      </w:r>
      <w:r w:rsidR="0078444C" w:rsidRPr="006F14E7">
        <w:rPr>
          <w:rFonts w:ascii="Times New Roman" w:hAnsi="Times New Roman" w:cs="Times New Roman"/>
          <w:sz w:val="24"/>
          <w:szCs w:val="24"/>
          <w:vertAlign w:val="superscript"/>
        </w:rPr>
        <w:t>30</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w:t>
      </w:r>
      <w:bookmarkEnd w:id="11"/>
      <w:r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Así mismo, para 1987 solo 7 entidades tuv</w:t>
      </w:r>
      <w:r w:rsidR="004E7874" w:rsidRPr="006F14E7">
        <w:rPr>
          <w:rFonts w:ascii="Times New Roman" w:hAnsi="Times New Roman" w:cs="Times New Roman"/>
          <w:sz w:val="24"/>
          <w:szCs w:val="24"/>
        </w:rPr>
        <w:t>ier</w:t>
      </w:r>
      <w:r w:rsidR="006B38C9" w:rsidRPr="006F14E7">
        <w:rPr>
          <w:rFonts w:ascii="Times New Roman" w:hAnsi="Times New Roman" w:cs="Times New Roman"/>
          <w:sz w:val="24"/>
          <w:szCs w:val="24"/>
        </w:rPr>
        <w:t>o</w:t>
      </w:r>
      <w:r w:rsidR="004E7874" w:rsidRPr="006F14E7">
        <w:rPr>
          <w:rFonts w:ascii="Times New Roman" w:hAnsi="Times New Roman" w:cs="Times New Roman"/>
          <w:sz w:val="24"/>
          <w:szCs w:val="24"/>
        </w:rPr>
        <w:t>n</w:t>
      </w:r>
      <w:r w:rsidR="006B38C9" w:rsidRPr="006F14E7">
        <w:rPr>
          <w:rFonts w:ascii="Times New Roman" w:hAnsi="Times New Roman" w:cs="Times New Roman"/>
          <w:sz w:val="24"/>
          <w:szCs w:val="24"/>
        </w:rPr>
        <w:t xml:space="preserve"> una cobertura hasta del 90% </w:t>
      </w:r>
      <w:r w:rsidR="004E7874" w:rsidRPr="006F14E7">
        <w:rPr>
          <w:rFonts w:ascii="Times New Roman" w:hAnsi="Times New Roman" w:cs="Times New Roman"/>
          <w:sz w:val="24"/>
          <w:szCs w:val="24"/>
        </w:rPr>
        <w:t xml:space="preserve">de agua potable </w:t>
      </w:r>
      <w:r w:rsidR="006B38C9" w:rsidRPr="006F14E7">
        <w:rPr>
          <w:rFonts w:ascii="Times New Roman" w:hAnsi="Times New Roman" w:cs="Times New Roman"/>
          <w:sz w:val="24"/>
          <w:szCs w:val="24"/>
        </w:rPr>
        <w:t xml:space="preserve">(la mayoría </w:t>
      </w:r>
      <w:r w:rsidR="004E7874" w:rsidRPr="006F14E7">
        <w:rPr>
          <w:rFonts w:ascii="Times New Roman" w:hAnsi="Times New Roman" w:cs="Times New Roman"/>
          <w:sz w:val="24"/>
          <w:szCs w:val="24"/>
        </w:rPr>
        <w:t xml:space="preserve">de las viviendas </w:t>
      </w:r>
      <w:r w:rsidR="006B38C9" w:rsidRPr="006F14E7">
        <w:rPr>
          <w:rFonts w:ascii="Times New Roman" w:hAnsi="Times New Roman" w:cs="Times New Roman"/>
          <w:sz w:val="24"/>
          <w:szCs w:val="24"/>
        </w:rPr>
        <w:t>ubicadas en el norte del país), mientras que, en estados del sureste, este servicio fue cubierto en menos del 65%</w:t>
      </w:r>
      <w:r w:rsidR="00C62FF1"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Tabasco</w:t>
      </w:r>
      <w:r w:rsidR="00C62FF1"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53.8%, Chiapas 53.7%, y Guerrero 45.5%</w:t>
      </w:r>
      <w:r w:rsidR="006B38C9" w:rsidRPr="006F14E7">
        <w:rPr>
          <w:rFonts w:ascii="Times New Roman" w:hAnsi="Times New Roman" w:cs="Times New Roman"/>
          <w:sz w:val="24"/>
          <w:szCs w:val="24"/>
          <w:vertAlign w:val="superscript"/>
        </w:rPr>
        <w:t>(</w:t>
      </w:r>
      <w:r w:rsidR="0078444C" w:rsidRPr="006F14E7">
        <w:rPr>
          <w:rFonts w:ascii="Times New Roman" w:hAnsi="Times New Roman" w:cs="Times New Roman"/>
          <w:sz w:val="24"/>
          <w:szCs w:val="24"/>
          <w:vertAlign w:val="superscript"/>
        </w:rPr>
        <w:t>31</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 xml:space="preserve">. </w:t>
      </w:r>
    </w:p>
    <w:p w14:paraId="0346EE72" w14:textId="77777777" w:rsidR="004F6D07" w:rsidRPr="006F14E7" w:rsidRDefault="004F6D07" w:rsidP="009E3B50">
      <w:pPr>
        <w:spacing w:after="0" w:line="240" w:lineRule="auto"/>
        <w:jc w:val="both"/>
        <w:rPr>
          <w:rFonts w:ascii="Times New Roman" w:hAnsi="Times New Roman" w:cs="Times New Roman"/>
          <w:sz w:val="24"/>
          <w:szCs w:val="24"/>
        </w:rPr>
      </w:pPr>
    </w:p>
    <w:p w14:paraId="6A56FD2A" w14:textId="6D56F1C9"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Por otro lado, aunque </w:t>
      </w:r>
      <w:r w:rsidR="00C62FF1" w:rsidRPr="006F14E7">
        <w:rPr>
          <w:rFonts w:ascii="Times New Roman" w:hAnsi="Times New Roman" w:cs="Times New Roman"/>
          <w:sz w:val="24"/>
          <w:szCs w:val="24"/>
        </w:rPr>
        <w:t xml:space="preserve">en promedio </w:t>
      </w:r>
      <w:r w:rsidRPr="006F14E7">
        <w:rPr>
          <w:rFonts w:ascii="Times New Roman" w:hAnsi="Times New Roman" w:cs="Times New Roman"/>
          <w:sz w:val="24"/>
          <w:szCs w:val="24"/>
        </w:rPr>
        <w:t>una de cada cinco viviendas del país tuvo piso de tierra</w:t>
      </w:r>
      <w:r w:rsidR="00467837" w:rsidRPr="006F14E7">
        <w:rPr>
          <w:rFonts w:ascii="Times New Roman" w:hAnsi="Times New Roman" w:cs="Times New Roman"/>
          <w:sz w:val="24"/>
          <w:szCs w:val="24"/>
        </w:rPr>
        <w:t>,</w:t>
      </w:r>
      <w:r w:rsidRPr="006F14E7">
        <w:rPr>
          <w:rFonts w:ascii="Times New Roman" w:hAnsi="Times New Roman" w:cs="Times New Roman"/>
          <w:sz w:val="24"/>
          <w:szCs w:val="24"/>
        </w:rPr>
        <w:t xml:space="preserve"> en la región </w:t>
      </w:r>
      <w:r w:rsidR="00467837" w:rsidRPr="006F14E7">
        <w:rPr>
          <w:rFonts w:ascii="Times New Roman" w:hAnsi="Times New Roman" w:cs="Times New Roman"/>
          <w:sz w:val="24"/>
          <w:szCs w:val="24"/>
        </w:rPr>
        <w:t xml:space="preserve">sur fue </w:t>
      </w:r>
      <w:r w:rsidRPr="006F14E7">
        <w:rPr>
          <w:rFonts w:ascii="Times New Roman" w:hAnsi="Times New Roman" w:cs="Times New Roman"/>
          <w:sz w:val="24"/>
          <w:szCs w:val="24"/>
        </w:rPr>
        <w:t>una de cada dos</w:t>
      </w:r>
      <w:r w:rsidR="00467837" w:rsidRPr="006F14E7">
        <w:rPr>
          <w:rFonts w:ascii="Times New Roman" w:hAnsi="Times New Roman" w:cs="Times New Roman"/>
          <w:sz w:val="24"/>
          <w:szCs w:val="24"/>
        </w:rPr>
        <w:t xml:space="preserve">, misma desigualdad que se observó entre </w:t>
      </w:r>
      <w:r w:rsidRPr="006F14E7">
        <w:rPr>
          <w:rFonts w:ascii="Times New Roman" w:hAnsi="Times New Roman" w:cs="Times New Roman"/>
          <w:sz w:val="24"/>
          <w:szCs w:val="24"/>
        </w:rPr>
        <w:t>estados con acceso a excusado de agua corriente</w:t>
      </w:r>
      <w:r w:rsidR="00467837" w:rsidRPr="006F14E7">
        <w:rPr>
          <w:rFonts w:ascii="Times New Roman" w:hAnsi="Times New Roman" w:cs="Times New Roman"/>
          <w:sz w:val="24"/>
          <w:szCs w:val="24"/>
        </w:rPr>
        <w:t xml:space="preserve">: </w:t>
      </w:r>
      <w:r w:rsidRPr="006F14E7">
        <w:rPr>
          <w:rFonts w:ascii="Times New Roman" w:hAnsi="Times New Roman" w:cs="Times New Roman"/>
          <w:sz w:val="24"/>
          <w:szCs w:val="24"/>
        </w:rPr>
        <w:t>Distrito Federal (93%), Aguascalientes (83%), Jalisco (79%), Baja California (76%) y Chihuahua (74</w:t>
      </w:r>
      <w:r w:rsidR="00467837" w:rsidRPr="006F14E7">
        <w:rPr>
          <w:rFonts w:ascii="Times New Roman" w:hAnsi="Times New Roman" w:cs="Times New Roman"/>
          <w:sz w:val="24"/>
          <w:szCs w:val="24"/>
        </w:rPr>
        <w:t>%</w:t>
      </w:r>
      <w:r w:rsidRPr="006F14E7">
        <w:rPr>
          <w:rFonts w:ascii="Times New Roman" w:hAnsi="Times New Roman" w:cs="Times New Roman"/>
          <w:sz w:val="24"/>
          <w:szCs w:val="24"/>
        </w:rPr>
        <w:t>)</w:t>
      </w:r>
      <w:r w:rsidR="00C62FF1" w:rsidRPr="006F14E7">
        <w:rPr>
          <w:rFonts w:ascii="Times New Roman" w:hAnsi="Times New Roman" w:cs="Times New Roman"/>
          <w:sz w:val="24"/>
          <w:szCs w:val="24"/>
        </w:rPr>
        <w:t xml:space="preserve">, en contraste con </w:t>
      </w:r>
      <w:r w:rsidRPr="006F14E7">
        <w:rPr>
          <w:rFonts w:ascii="Times New Roman" w:hAnsi="Times New Roman" w:cs="Times New Roman"/>
          <w:sz w:val="24"/>
          <w:szCs w:val="24"/>
        </w:rPr>
        <w:t>Oaxaca (24%), Guerrero (28%) y Chiapas (32%)</w:t>
      </w:r>
      <w:r w:rsidR="00377E0A" w:rsidRPr="006F14E7">
        <w:rPr>
          <w:rFonts w:ascii="Times New Roman" w:hAnsi="Times New Roman" w:cs="Times New Roman"/>
          <w:sz w:val="24"/>
          <w:szCs w:val="24"/>
          <w:vertAlign w:val="superscript"/>
        </w:rPr>
        <w:t>(</w:t>
      </w:r>
      <w:r w:rsidR="0078444C" w:rsidRPr="006F14E7">
        <w:rPr>
          <w:rFonts w:ascii="Times New Roman" w:hAnsi="Times New Roman" w:cs="Times New Roman"/>
          <w:sz w:val="24"/>
          <w:szCs w:val="24"/>
          <w:vertAlign w:val="superscript"/>
        </w:rPr>
        <w:t>31</w:t>
      </w:r>
      <w:r w:rsidR="00377E0A"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263B2D1E" w14:textId="77777777" w:rsidR="006B38C9" w:rsidRPr="006F14E7" w:rsidRDefault="006B38C9" w:rsidP="009E3B50">
      <w:pPr>
        <w:spacing w:after="0" w:line="240" w:lineRule="auto"/>
        <w:jc w:val="both"/>
        <w:rPr>
          <w:rFonts w:ascii="Times New Roman" w:hAnsi="Times New Roman" w:cs="Times New Roman"/>
          <w:b/>
          <w:bCs/>
          <w:color w:val="2F2F2F"/>
          <w:sz w:val="24"/>
          <w:szCs w:val="24"/>
        </w:rPr>
      </w:pPr>
    </w:p>
    <w:p w14:paraId="21005A73" w14:textId="0C8C5410" w:rsidR="006B38C9" w:rsidRPr="006F14E7" w:rsidRDefault="00467837"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Durante </w:t>
      </w:r>
      <w:r w:rsidR="006B38C9" w:rsidRPr="006F14E7">
        <w:rPr>
          <w:rFonts w:ascii="Times New Roman" w:hAnsi="Times New Roman" w:cs="Times New Roman"/>
          <w:sz w:val="24"/>
          <w:szCs w:val="24"/>
        </w:rPr>
        <w:t xml:space="preserve">el periodo 1990-1994, </w:t>
      </w:r>
      <w:r w:rsidRPr="006F14E7">
        <w:rPr>
          <w:rFonts w:ascii="Times New Roman" w:hAnsi="Times New Roman" w:cs="Times New Roman"/>
          <w:sz w:val="24"/>
          <w:szCs w:val="24"/>
        </w:rPr>
        <w:t>aument</w:t>
      </w:r>
      <w:r w:rsidR="005F1B5C" w:rsidRPr="006F14E7">
        <w:rPr>
          <w:rFonts w:ascii="Times New Roman" w:hAnsi="Times New Roman" w:cs="Times New Roman"/>
          <w:sz w:val="24"/>
          <w:szCs w:val="24"/>
        </w:rPr>
        <w:t>ó</w:t>
      </w:r>
      <w:r w:rsidRPr="006F14E7">
        <w:rPr>
          <w:rFonts w:ascii="Times New Roman" w:hAnsi="Times New Roman" w:cs="Times New Roman"/>
          <w:sz w:val="24"/>
          <w:szCs w:val="24"/>
        </w:rPr>
        <w:t xml:space="preserve"> la </w:t>
      </w:r>
      <w:r w:rsidR="00C62FF1" w:rsidRPr="006F14E7">
        <w:rPr>
          <w:rFonts w:ascii="Times New Roman" w:hAnsi="Times New Roman" w:cs="Times New Roman"/>
          <w:sz w:val="24"/>
          <w:szCs w:val="24"/>
        </w:rPr>
        <w:t>cobertura</w:t>
      </w:r>
      <w:r w:rsidR="006B38C9" w:rsidRPr="006F14E7">
        <w:rPr>
          <w:rFonts w:ascii="Times New Roman" w:hAnsi="Times New Roman" w:cs="Times New Roman"/>
          <w:sz w:val="24"/>
          <w:szCs w:val="24"/>
        </w:rPr>
        <w:t xml:space="preserve"> de agua entubada y drenaje dentro de las viviendas del 79% al 84% y del 63% al 77% respectivamente, así como las viviendas con energía eléctrica del 81% al 91% en el mismo </w:t>
      </w:r>
      <w:proofErr w:type="gramStart"/>
      <w:r w:rsidR="006B38C9" w:rsidRPr="006F14E7">
        <w:rPr>
          <w:rFonts w:ascii="Times New Roman" w:hAnsi="Times New Roman" w:cs="Times New Roman"/>
          <w:sz w:val="24"/>
          <w:szCs w:val="24"/>
        </w:rPr>
        <w:t>periodo</w:t>
      </w:r>
      <w:r w:rsidR="006B38C9" w:rsidRPr="006F14E7">
        <w:rPr>
          <w:rFonts w:ascii="Times New Roman" w:hAnsi="Times New Roman" w:cs="Times New Roman"/>
          <w:sz w:val="24"/>
          <w:szCs w:val="24"/>
          <w:vertAlign w:val="superscript"/>
        </w:rPr>
        <w:t>(</w:t>
      </w:r>
      <w:proofErr w:type="gramEnd"/>
      <w:r w:rsidR="0072452D" w:rsidRPr="006F14E7">
        <w:rPr>
          <w:rFonts w:ascii="Times New Roman" w:hAnsi="Times New Roman" w:cs="Times New Roman"/>
          <w:sz w:val="24"/>
          <w:szCs w:val="24"/>
          <w:vertAlign w:val="superscript"/>
        </w:rPr>
        <w:t>46,</w:t>
      </w:r>
      <w:r w:rsidR="00FB4E91" w:rsidRPr="006F14E7">
        <w:rPr>
          <w:rFonts w:ascii="Times New Roman" w:hAnsi="Times New Roman" w:cs="Times New Roman"/>
          <w:sz w:val="24"/>
          <w:szCs w:val="24"/>
          <w:vertAlign w:val="superscript"/>
        </w:rPr>
        <w:t>50</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w:t>
      </w:r>
      <w:r w:rsidR="00C423F2" w:rsidRPr="006F14E7">
        <w:rPr>
          <w:rFonts w:ascii="Times New Roman" w:hAnsi="Times New Roman" w:cs="Times New Roman"/>
          <w:sz w:val="24"/>
          <w:szCs w:val="24"/>
        </w:rPr>
        <w:t xml:space="preserve"> </w:t>
      </w:r>
      <w:r w:rsidRPr="006F14E7">
        <w:rPr>
          <w:rFonts w:ascii="Times New Roman" w:hAnsi="Times New Roman" w:cs="Times New Roman"/>
          <w:sz w:val="24"/>
          <w:szCs w:val="24"/>
        </w:rPr>
        <w:t xml:space="preserve">Mientras que </w:t>
      </w:r>
      <w:r w:rsidR="00C423F2" w:rsidRPr="006F14E7">
        <w:rPr>
          <w:rFonts w:ascii="Times New Roman" w:hAnsi="Times New Roman" w:cs="Times New Roman"/>
          <w:sz w:val="24"/>
          <w:szCs w:val="24"/>
        </w:rPr>
        <w:t>hacia el año 2000,</w:t>
      </w:r>
      <w:r w:rsidRPr="006F14E7">
        <w:rPr>
          <w:rFonts w:ascii="Times New Roman" w:hAnsi="Times New Roman" w:cs="Times New Roman"/>
          <w:sz w:val="24"/>
          <w:szCs w:val="24"/>
        </w:rPr>
        <w:t xml:space="preserve"> d</w:t>
      </w:r>
      <w:r w:rsidR="00C423F2" w:rsidRPr="006F14E7">
        <w:rPr>
          <w:rFonts w:ascii="Times New Roman" w:hAnsi="Times New Roman" w:cs="Times New Roman"/>
          <w:sz w:val="24"/>
          <w:szCs w:val="24"/>
        </w:rPr>
        <w:t xml:space="preserve">e acuerdo con el </w:t>
      </w:r>
      <w:r w:rsidR="006B38C9" w:rsidRPr="006F14E7">
        <w:rPr>
          <w:rFonts w:ascii="Times New Roman" w:hAnsi="Times New Roman" w:cs="Times New Roman"/>
          <w:sz w:val="24"/>
          <w:szCs w:val="24"/>
        </w:rPr>
        <w:t>Programa</w:t>
      </w:r>
      <w:r w:rsidR="00C423F2" w:rsidRPr="006F14E7">
        <w:rPr>
          <w:rFonts w:ascii="Times New Roman" w:hAnsi="Times New Roman" w:cs="Times New Roman"/>
          <w:sz w:val="24"/>
          <w:szCs w:val="24"/>
        </w:rPr>
        <w:t xml:space="preserve"> Nacional de </w:t>
      </w:r>
      <w:r w:rsidR="00EE68CD" w:rsidRPr="006F14E7">
        <w:rPr>
          <w:rFonts w:ascii="Times New Roman" w:hAnsi="Times New Roman" w:cs="Times New Roman"/>
          <w:sz w:val="24"/>
          <w:szCs w:val="24"/>
        </w:rPr>
        <w:t>Salud, la</w:t>
      </w:r>
      <w:r w:rsidRPr="006F14E7">
        <w:rPr>
          <w:rFonts w:ascii="Times New Roman" w:hAnsi="Times New Roman" w:cs="Times New Roman"/>
          <w:sz w:val="24"/>
          <w:szCs w:val="24"/>
        </w:rPr>
        <w:t xml:space="preserve"> carencia por</w:t>
      </w:r>
      <w:r w:rsidR="006B38C9" w:rsidRPr="006F14E7">
        <w:rPr>
          <w:rFonts w:ascii="Times New Roman" w:hAnsi="Times New Roman" w:cs="Times New Roman"/>
          <w:sz w:val="24"/>
          <w:szCs w:val="24"/>
        </w:rPr>
        <w:t xml:space="preserve"> acceso a agua potable </w:t>
      </w:r>
      <w:r w:rsidR="00C423F2" w:rsidRPr="006F14E7">
        <w:rPr>
          <w:rFonts w:ascii="Times New Roman" w:hAnsi="Times New Roman" w:cs="Times New Roman"/>
          <w:sz w:val="24"/>
          <w:szCs w:val="24"/>
        </w:rPr>
        <w:t xml:space="preserve">disminuyó al </w:t>
      </w:r>
      <w:r w:rsidR="006B38C9" w:rsidRPr="006F14E7">
        <w:rPr>
          <w:rFonts w:ascii="Times New Roman" w:hAnsi="Times New Roman" w:cs="Times New Roman"/>
          <w:sz w:val="24"/>
          <w:szCs w:val="24"/>
        </w:rPr>
        <w:t xml:space="preserve">15.7%, </w:t>
      </w:r>
      <w:r w:rsidR="00C423F2" w:rsidRPr="006F14E7">
        <w:rPr>
          <w:rFonts w:ascii="Times New Roman" w:hAnsi="Times New Roman" w:cs="Times New Roman"/>
          <w:sz w:val="24"/>
          <w:szCs w:val="24"/>
        </w:rPr>
        <w:t xml:space="preserve">aquella </w:t>
      </w:r>
      <w:r w:rsidR="006B38C9" w:rsidRPr="006F14E7">
        <w:rPr>
          <w:rFonts w:ascii="Times New Roman" w:hAnsi="Times New Roman" w:cs="Times New Roman"/>
          <w:sz w:val="24"/>
          <w:szCs w:val="24"/>
        </w:rPr>
        <w:t xml:space="preserve">sin servicios de drenaje </w:t>
      </w:r>
      <w:r w:rsidR="00C423F2" w:rsidRPr="006F14E7">
        <w:rPr>
          <w:rFonts w:ascii="Times New Roman" w:hAnsi="Times New Roman" w:cs="Times New Roman"/>
          <w:sz w:val="24"/>
          <w:szCs w:val="24"/>
        </w:rPr>
        <w:t>al</w:t>
      </w:r>
      <w:r w:rsidR="006B38C9" w:rsidRPr="006F14E7">
        <w:rPr>
          <w:rFonts w:ascii="Times New Roman" w:hAnsi="Times New Roman" w:cs="Times New Roman"/>
          <w:sz w:val="24"/>
          <w:szCs w:val="24"/>
        </w:rPr>
        <w:t xml:space="preserve"> 21.9% y</w:t>
      </w:r>
      <w:r w:rsidR="00C423F2" w:rsidRPr="006F14E7">
        <w:rPr>
          <w:rFonts w:ascii="Times New Roman" w:hAnsi="Times New Roman" w:cs="Times New Roman"/>
          <w:sz w:val="24"/>
          <w:szCs w:val="24"/>
        </w:rPr>
        <w:t xml:space="preserve"> aquella</w:t>
      </w:r>
      <w:r w:rsidR="006B38C9" w:rsidRPr="006F14E7">
        <w:rPr>
          <w:rFonts w:ascii="Times New Roman" w:hAnsi="Times New Roman" w:cs="Times New Roman"/>
          <w:sz w:val="24"/>
          <w:szCs w:val="24"/>
        </w:rPr>
        <w:t xml:space="preserve"> con piso de tierra el 13.2%. Sin embargo, </w:t>
      </w:r>
      <w:r w:rsidR="00000D69" w:rsidRPr="006F14E7">
        <w:rPr>
          <w:rFonts w:ascii="Times New Roman" w:hAnsi="Times New Roman" w:cs="Times New Roman"/>
          <w:sz w:val="24"/>
          <w:szCs w:val="24"/>
        </w:rPr>
        <w:t>la distribución</w:t>
      </w:r>
      <w:r w:rsidR="006B38C9" w:rsidRPr="006F14E7">
        <w:rPr>
          <w:rFonts w:ascii="Times New Roman" w:hAnsi="Times New Roman" w:cs="Times New Roman"/>
          <w:sz w:val="24"/>
          <w:szCs w:val="24"/>
        </w:rPr>
        <w:t xml:space="preserve"> </w:t>
      </w:r>
      <w:r w:rsidR="0053740A" w:rsidRPr="006F14E7">
        <w:rPr>
          <w:rFonts w:ascii="Times New Roman" w:hAnsi="Times New Roman" w:cs="Times New Roman"/>
          <w:sz w:val="24"/>
          <w:szCs w:val="24"/>
        </w:rPr>
        <w:t>de las</w:t>
      </w:r>
      <w:r w:rsidR="006B38C9" w:rsidRPr="006F14E7">
        <w:rPr>
          <w:rFonts w:ascii="Times New Roman" w:hAnsi="Times New Roman" w:cs="Times New Roman"/>
          <w:sz w:val="24"/>
          <w:szCs w:val="24"/>
        </w:rPr>
        <w:t xml:space="preserve"> </w:t>
      </w:r>
      <w:r w:rsidR="00BB255B" w:rsidRPr="006F14E7">
        <w:rPr>
          <w:rFonts w:ascii="Times New Roman" w:hAnsi="Times New Roman" w:cs="Times New Roman"/>
          <w:sz w:val="24"/>
          <w:szCs w:val="24"/>
        </w:rPr>
        <w:t>carencias no</w:t>
      </w:r>
      <w:r w:rsidR="006B38C9" w:rsidRPr="006F14E7">
        <w:rPr>
          <w:rFonts w:ascii="Times New Roman" w:hAnsi="Times New Roman" w:cs="Times New Roman"/>
          <w:sz w:val="24"/>
          <w:szCs w:val="24"/>
        </w:rPr>
        <w:t xml:space="preserve"> </w:t>
      </w:r>
      <w:r w:rsidR="00D950CB" w:rsidRPr="006F14E7">
        <w:rPr>
          <w:rFonts w:ascii="Times New Roman" w:hAnsi="Times New Roman" w:cs="Times New Roman"/>
          <w:sz w:val="24"/>
          <w:szCs w:val="24"/>
        </w:rPr>
        <w:t>fue homogénea</w:t>
      </w:r>
      <w:r w:rsidR="006B38C9" w:rsidRPr="006F14E7">
        <w:rPr>
          <w:rFonts w:ascii="Times New Roman" w:hAnsi="Times New Roman" w:cs="Times New Roman"/>
          <w:sz w:val="24"/>
          <w:szCs w:val="24"/>
        </w:rPr>
        <w:t xml:space="preserve">, es </w:t>
      </w:r>
      <w:r w:rsidR="00D950CB" w:rsidRPr="006F14E7">
        <w:rPr>
          <w:rFonts w:ascii="Times New Roman" w:hAnsi="Times New Roman" w:cs="Times New Roman"/>
          <w:sz w:val="24"/>
          <w:szCs w:val="24"/>
        </w:rPr>
        <w:t>decir las</w:t>
      </w:r>
      <w:r w:rsidR="006B38C9" w:rsidRPr="006F14E7">
        <w:rPr>
          <w:rFonts w:ascii="Times New Roman" w:hAnsi="Times New Roman" w:cs="Times New Roman"/>
          <w:sz w:val="24"/>
          <w:szCs w:val="24"/>
        </w:rPr>
        <w:t xml:space="preserve"> entidades con mayores carencias de acceso a servicios de agua potable</w:t>
      </w:r>
      <w:r w:rsidR="000C0B8D" w:rsidRPr="006F14E7">
        <w:rPr>
          <w:rFonts w:ascii="Times New Roman" w:hAnsi="Times New Roman" w:cs="Times New Roman"/>
          <w:sz w:val="24"/>
          <w:szCs w:val="24"/>
        </w:rPr>
        <w:t xml:space="preserve"> continuaron siendo </w:t>
      </w:r>
      <w:r w:rsidR="003D2C18" w:rsidRPr="006F14E7">
        <w:rPr>
          <w:rFonts w:ascii="Times New Roman" w:hAnsi="Times New Roman" w:cs="Times New Roman"/>
          <w:sz w:val="24"/>
          <w:szCs w:val="24"/>
        </w:rPr>
        <w:t>la miasma</w:t>
      </w:r>
      <w:r w:rsidR="000C0B8D" w:rsidRPr="006F14E7">
        <w:rPr>
          <w:rFonts w:ascii="Times New Roman" w:hAnsi="Times New Roman" w:cs="Times New Roman"/>
          <w:sz w:val="24"/>
          <w:szCs w:val="24"/>
        </w:rPr>
        <w:t>:</w:t>
      </w:r>
      <w:r w:rsidR="006B38C9" w:rsidRPr="006F14E7">
        <w:rPr>
          <w:rFonts w:ascii="Times New Roman" w:hAnsi="Times New Roman" w:cs="Times New Roman"/>
          <w:sz w:val="24"/>
          <w:szCs w:val="24"/>
        </w:rPr>
        <w:t xml:space="preserve"> Chiapas 32.0%, Guerrero 40.1%, Oaxaca 34.5%, Tabasco 30.7%, Veracruz, 33.9%, </w:t>
      </w:r>
      <w:r w:rsidR="00C423F2" w:rsidRPr="006F14E7">
        <w:rPr>
          <w:rFonts w:ascii="Times New Roman" w:hAnsi="Times New Roman" w:cs="Times New Roman"/>
          <w:sz w:val="24"/>
          <w:szCs w:val="24"/>
        </w:rPr>
        <w:t xml:space="preserve">en contraste con </w:t>
      </w:r>
      <w:r w:rsidR="006B38C9" w:rsidRPr="006F14E7">
        <w:rPr>
          <w:rFonts w:ascii="Times New Roman" w:hAnsi="Times New Roman" w:cs="Times New Roman"/>
          <w:sz w:val="24"/>
          <w:szCs w:val="24"/>
        </w:rPr>
        <w:t>Aguascalientes con 3.3%, Distrito Federal 3.1</w:t>
      </w:r>
      <w:r w:rsidR="00D950CB" w:rsidRPr="006F14E7">
        <w:rPr>
          <w:rFonts w:ascii="Times New Roman" w:hAnsi="Times New Roman" w:cs="Times New Roman"/>
          <w:sz w:val="24"/>
          <w:szCs w:val="24"/>
        </w:rPr>
        <w:t>%, Coahuila</w:t>
      </w:r>
      <w:r w:rsidR="006B38C9" w:rsidRPr="006F14E7">
        <w:rPr>
          <w:rFonts w:ascii="Times New Roman" w:hAnsi="Times New Roman" w:cs="Times New Roman"/>
          <w:sz w:val="24"/>
          <w:szCs w:val="24"/>
        </w:rPr>
        <w:t xml:space="preserve"> 6.1%, Colima 6.0% y Nuevo León 6.5%.  </w:t>
      </w:r>
      <w:r w:rsidR="00C423F2" w:rsidRPr="006F14E7">
        <w:rPr>
          <w:rFonts w:ascii="Times New Roman" w:hAnsi="Times New Roman" w:cs="Times New Roman"/>
          <w:sz w:val="24"/>
          <w:szCs w:val="24"/>
        </w:rPr>
        <w:t>Así mismo,</w:t>
      </w:r>
      <w:r w:rsidR="006B38C9" w:rsidRPr="006F14E7">
        <w:rPr>
          <w:rFonts w:ascii="Times New Roman" w:hAnsi="Times New Roman" w:cs="Times New Roman"/>
          <w:sz w:val="24"/>
          <w:szCs w:val="24"/>
        </w:rPr>
        <w:t xml:space="preserve"> la mayor población sin servicio de drenaje en su vivienda se ubicó en Chiapas (37.7%), Guerrero (46.4%) y Oaxaca (54.4%), </w:t>
      </w:r>
      <w:r w:rsidR="00C423F2" w:rsidRPr="006F14E7">
        <w:rPr>
          <w:rFonts w:ascii="Times New Roman" w:hAnsi="Times New Roman" w:cs="Times New Roman"/>
          <w:sz w:val="24"/>
          <w:szCs w:val="24"/>
        </w:rPr>
        <w:t>a diferencia de</w:t>
      </w:r>
      <w:r w:rsidR="006B38C9" w:rsidRPr="006F14E7">
        <w:rPr>
          <w:rFonts w:ascii="Times New Roman" w:hAnsi="Times New Roman" w:cs="Times New Roman"/>
          <w:sz w:val="24"/>
          <w:szCs w:val="24"/>
        </w:rPr>
        <w:t xml:space="preserve"> Nuevo León</w:t>
      </w:r>
      <w:r w:rsidR="00C423F2" w:rsidRPr="006F14E7">
        <w:rPr>
          <w:rFonts w:ascii="Times New Roman" w:hAnsi="Times New Roman" w:cs="Times New Roman"/>
          <w:sz w:val="24"/>
          <w:szCs w:val="24"/>
        </w:rPr>
        <w:t xml:space="preserve"> (</w:t>
      </w:r>
      <w:r w:rsidR="006B38C9" w:rsidRPr="006F14E7">
        <w:rPr>
          <w:rFonts w:ascii="Times New Roman" w:hAnsi="Times New Roman" w:cs="Times New Roman"/>
          <w:sz w:val="24"/>
          <w:szCs w:val="24"/>
        </w:rPr>
        <w:t>9.2%</w:t>
      </w:r>
      <w:r w:rsidR="00C423F2" w:rsidRPr="006F14E7">
        <w:rPr>
          <w:rFonts w:ascii="Times New Roman" w:hAnsi="Times New Roman" w:cs="Times New Roman"/>
          <w:sz w:val="24"/>
          <w:szCs w:val="24"/>
        </w:rPr>
        <w:t>)</w:t>
      </w:r>
      <w:r w:rsidR="006B38C9" w:rsidRPr="006F14E7">
        <w:rPr>
          <w:rFonts w:ascii="Times New Roman" w:hAnsi="Times New Roman" w:cs="Times New Roman"/>
          <w:sz w:val="24"/>
          <w:szCs w:val="24"/>
        </w:rPr>
        <w:t>, Colima (6.8%), Aguascalientes (5.1%) y Distrito federal (1.8%</w:t>
      </w:r>
      <w:proofErr w:type="gramStart"/>
      <w:r w:rsidR="006B38C9" w:rsidRPr="006F14E7">
        <w:rPr>
          <w:rFonts w:ascii="Times New Roman" w:hAnsi="Times New Roman" w:cs="Times New Roman"/>
          <w:sz w:val="24"/>
          <w:szCs w:val="24"/>
        </w:rPr>
        <w:t>)</w:t>
      </w:r>
      <w:r w:rsidR="006B38C9" w:rsidRPr="006F14E7">
        <w:rPr>
          <w:rFonts w:ascii="Times New Roman" w:hAnsi="Times New Roman" w:cs="Times New Roman"/>
          <w:sz w:val="24"/>
          <w:szCs w:val="24"/>
          <w:vertAlign w:val="superscript"/>
        </w:rPr>
        <w:t>(</w:t>
      </w:r>
      <w:proofErr w:type="gramEnd"/>
      <w:r w:rsidR="0078444C" w:rsidRPr="006F14E7">
        <w:rPr>
          <w:rFonts w:ascii="Times New Roman" w:hAnsi="Times New Roman" w:cs="Times New Roman"/>
          <w:sz w:val="24"/>
          <w:szCs w:val="24"/>
          <w:vertAlign w:val="superscript"/>
        </w:rPr>
        <w:t>14</w:t>
      </w:r>
      <w:r w:rsidR="006B38C9" w:rsidRPr="006F14E7">
        <w:rPr>
          <w:rFonts w:ascii="Times New Roman" w:hAnsi="Times New Roman" w:cs="Times New Roman"/>
          <w:sz w:val="24"/>
          <w:szCs w:val="24"/>
          <w:vertAlign w:val="superscript"/>
        </w:rPr>
        <w:t>)</w:t>
      </w:r>
      <w:r w:rsidR="006B38C9" w:rsidRPr="006F14E7">
        <w:rPr>
          <w:rFonts w:ascii="Times New Roman" w:hAnsi="Times New Roman" w:cs="Times New Roman"/>
          <w:sz w:val="24"/>
          <w:szCs w:val="24"/>
        </w:rPr>
        <w:t xml:space="preserve">. </w:t>
      </w:r>
    </w:p>
    <w:p w14:paraId="71BCD21C" w14:textId="77777777" w:rsidR="003D2C18" w:rsidRPr="006F14E7" w:rsidRDefault="003D2C18" w:rsidP="009E3B50">
      <w:pPr>
        <w:spacing w:after="0" w:line="240" w:lineRule="auto"/>
        <w:jc w:val="both"/>
        <w:rPr>
          <w:rFonts w:ascii="Times New Roman" w:hAnsi="Times New Roman" w:cs="Times New Roman"/>
          <w:sz w:val="24"/>
          <w:szCs w:val="24"/>
        </w:rPr>
      </w:pPr>
    </w:p>
    <w:p w14:paraId="3C1FBEA2" w14:textId="4E4CEBC8" w:rsidR="006B38C9" w:rsidRPr="006F14E7" w:rsidRDefault="006B38C9" w:rsidP="009E3B50">
      <w:pPr>
        <w:spacing w:after="0" w:line="240" w:lineRule="auto"/>
        <w:jc w:val="both"/>
        <w:rPr>
          <w:rFonts w:ascii="Times New Roman" w:hAnsi="Times New Roman" w:cs="Times New Roman"/>
          <w:i/>
          <w:iCs/>
          <w:sz w:val="24"/>
          <w:szCs w:val="24"/>
        </w:rPr>
      </w:pPr>
      <w:r w:rsidRPr="006F14E7">
        <w:rPr>
          <w:rFonts w:ascii="Times New Roman" w:eastAsia="Times New Roman" w:hAnsi="Times New Roman" w:cs="Times New Roman"/>
          <w:color w:val="000000"/>
          <w:sz w:val="24"/>
          <w:szCs w:val="24"/>
        </w:rPr>
        <w:t xml:space="preserve">Posteriormente, entre el año 2000 y 2005 la reducción de la marginalidad de la vivienda mostró importantes avances, por ejemplo, en la proporción de viviendas con carencias por acceso a agua potable pasó de 15.7% al 11.5%, así mismo, las viviendas sin drenaje pasaron del 21.9% al 12.2% en el mismo </w:t>
      </w:r>
      <w:proofErr w:type="gramStart"/>
      <w:r w:rsidRPr="006F14E7">
        <w:rPr>
          <w:rFonts w:ascii="Times New Roman" w:eastAsia="Times New Roman" w:hAnsi="Times New Roman" w:cs="Times New Roman"/>
          <w:color w:val="000000"/>
          <w:sz w:val="24"/>
          <w:szCs w:val="24"/>
        </w:rPr>
        <w:t>periodo</w:t>
      </w:r>
      <w:r w:rsidRPr="006F14E7">
        <w:rPr>
          <w:rFonts w:ascii="Times New Roman" w:eastAsia="Times New Roman" w:hAnsi="Times New Roman" w:cs="Times New Roman"/>
          <w:color w:val="000000"/>
          <w:sz w:val="24"/>
          <w:szCs w:val="24"/>
          <w:vertAlign w:val="superscript"/>
        </w:rPr>
        <w:t>(</w:t>
      </w:r>
      <w:proofErr w:type="gramEnd"/>
      <w:r w:rsidR="0078444C" w:rsidRPr="006F14E7">
        <w:rPr>
          <w:rFonts w:ascii="Times New Roman" w:eastAsia="Times New Roman" w:hAnsi="Times New Roman" w:cs="Times New Roman"/>
          <w:color w:val="000000"/>
          <w:sz w:val="24"/>
          <w:szCs w:val="24"/>
          <w:vertAlign w:val="superscript"/>
        </w:rPr>
        <w:t>15</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3BF74EEE" w14:textId="77777777" w:rsidR="00195A15" w:rsidRPr="006F14E7" w:rsidRDefault="00195A15" w:rsidP="009E3B50">
      <w:pPr>
        <w:spacing w:after="0" w:line="240" w:lineRule="auto"/>
        <w:jc w:val="both"/>
        <w:rPr>
          <w:rFonts w:ascii="Times New Roman" w:hAnsi="Times New Roman" w:cs="Times New Roman"/>
          <w:i/>
          <w:iCs/>
          <w:sz w:val="24"/>
          <w:szCs w:val="24"/>
        </w:rPr>
      </w:pPr>
    </w:p>
    <w:p w14:paraId="28E12951" w14:textId="77777777" w:rsidR="006B38C9" w:rsidRPr="006F14E7" w:rsidRDefault="006B38C9" w:rsidP="009E3B50">
      <w:pPr>
        <w:spacing w:after="0" w:line="240" w:lineRule="auto"/>
        <w:jc w:val="center"/>
        <w:rPr>
          <w:rFonts w:ascii="Times New Roman" w:hAnsi="Times New Roman" w:cs="Times New Roman"/>
          <w:i/>
          <w:iCs/>
          <w:sz w:val="24"/>
          <w:szCs w:val="24"/>
        </w:rPr>
      </w:pPr>
      <w:r w:rsidRPr="006F14E7">
        <w:rPr>
          <w:rFonts w:ascii="Times New Roman" w:hAnsi="Times New Roman" w:cs="Times New Roman"/>
          <w:i/>
          <w:iCs/>
          <w:noProof/>
          <w:sz w:val="24"/>
          <w:szCs w:val="24"/>
          <w:lang w:val="es-CL" w:eastAsia="es-CL"/>
        </w:rPr>
        <w:lastRenderedPageBreak/>
        <w:drawing>
          <wp:inline distT="0" distB="0" distL="0" distR="0" wp14:anchorId="6634DBBC" wp14:editId="17ED3D74">
            <wp:extent cx="5513307" cy="1664970"/>
            <wp:effectExtent l="0" t="0" r="11430" b="11430"/>
            <wp:docPr id="15" name="Gráfico 1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E9934CE-E0B0-4C40-B1DB-3187E4604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FAC172" w14:textId="63EF5E51" w:rsidR="006B38C9" w:rsidRPr="006F14E7" w:rsidRDefault="006B38C9" w:rsidP="009E3B50">
      <w:pPr>
        <w:spacing w:after="0" w:line="240" w:lineRule="auto"/>
        <w:jc w:val="both"/>
        <w:rPr>
          <w:rFonts w:ascii="Times New Roman" w:hAnsi="Times New Roman" w:cs="Times New Roman"/>
        </w:rPr>
      </w:pPr>
      <w:r w:rsidRPr="006F14E7">
        <w:rPr>
          <w:rFonts w:ascii="Times New Roman" w:hAnsi="Times New Roman" w:cs="Times New Roman"/>
          <w:b/>
          <w:bCs/>
          <w:i/>
          <w:iCs/>
        </w:rPr>
        <w:t xml:space="preserve">  </w:t>
      </w:r>
      <w:r w:rsidRPr="006F14E7">
        <w:rPr>
          <w:rFonts w:ascii="Times New Roman" w:hAnsi="Times New Roman" w:cs="Times New Roman"/>
          <w:b/>
          <w:bCs/>
        </w:rPr>
        <w:t xml:space="preserve">Fuente: </w:t>
      </w:r>
      <w:r w:rsidRPr="006F14E7">
        <w:rPr>
          <w:rFonts w:ascii="Times New Roman" w:hAnsi="Times New Roman" w:cs="Times New Roman"/>
        </w:rPr>
        <w:t xml:space="preserve">(CONEVAL, 2020; </w:t>
      </w:r>
      <w:r w:rsidR="00B0243D" w:rsidRPr="006F14E7">
        <w:rPr>
          <w:rFonts w:ascii="Times New Roman" w:hAnsi="Times New Roman" w:cs="Times New Roman"/>
        </w:rPr>
        <w:t>SSA,</w:t>
      </w:r>
      <w:r w:rsidRPr="006F14E7">
        <w:rPr>
          <w:rFonts w:ascii="Times New Roman" w:hAnsi="Times New Roman" w:cs="Times New Roman"/>
        </w:rPr>
        <w:t xml:space="preserve"> 1984)</w:t>
      </w:r>
    </w:p>
    <w:p w14:paraId="317FE898" w14:textId="77777777" w:rsidR="006B38C9" w:rsidRPr="006F14E7" w:rsidRDefault="006B38C9" w:rsidP="009E3B50">
      <w:pPr>
        <w:pStyle w:val="Texto0"/>
        <w:spacing w:after="0" w:line="240" w:lineRule="auto"/>
        <w:ind w:firstLine="0"/>
        <w:rPr>
          <w:rFonts w:ascii="Times New Roman" w:eastAsiaTheme="minorHAnsi" w:hAnsi="Times New Roman" w:cs="Times New Roman"/>
          <w:i/>
          <w:iCs/>
          <w:color w:val="7030A0"/>
          <w:sz w:val="24"/>
          <w:szCs w:val="24"/>
          <w:lang w:val="es-MX" w:eastAsia="en-US"/>
        </w:rPr>
      </w:pPr>
    </w:p>
    <w:p w14:paraId="130AE4F1" w14:textId="08122FF4" w:rsidR="006B38C9" w:rsidRPr="006F14E7" w:rsidRDefault="006B38C9" w:rsidP="009E3B50">
      <w:pPr>
        <w:pStyle w:val="Texto0"/>
        <w:spacing w:after="0" w:line="240" w:lineRule="auto"/>
        <w:ind w:firstLine="0"/>
        <w:rPr>
          <w:rFonts w:ascii="Times New Roman" w:eastAsiaTheme="minorHAnsi" w:hAnsi="Times New Roman" w:cs="Times New Roman"/>
          <w:sz w:val="24"/>
          <w:szCs w:val="24"/>
          <w:lang w:val="es-MX" w:eastAsia="en-US"/>
        </w:rPr>
      </w:pPr>
      <w:r w:rsidRPr="006F14E7">
        <w:rPr>
          <w:rFonts w:ascii="Times New Roman" w:eastAsiaTheme="minorHAnsi" w:hAnsi="Times New Roman" w:cs="Times New Roman"/>
          <w:sz w:val="24"/>
          <w:szCs w:val="24"/>
          <w:lang w:val="es-MX" w:eastAsia="en-US"/>
        </w:rPr>
        <w:t xml:space="preserve">Para 2010, de acuerdo con el Plan Nacional de Desarrollo 2013-2018, la población desprovista de servicios básicos en la vivienda a nivel nacional representó </w:t>
      </w:r>
      <w:r w:rsidR="000C0B8D" w:rsidRPr="006F14E7">
        <w:rPr>
          <w:rFonts w:ascii="Times New Roman" w:eastAsiaTheme="minorHAnsi" w:hAnsi="Times New Roman" w:cs="Times New Roman"/>
          <w:sz w:val="24"/>
          <w:szCs w:val="24"/>
          <w:lang w:val="es-MX" w:eastAsia="en-US"/>
        </w:rPr>
        <w:t>el</w:t>
      </w:r>
      <w:r w:rsidRPr="006F14E7">
        <w:rPr>
          <w:rFonts w:ascii="Times New Roman" w:eastAsiaTheme="minorHAnsi" w:hAnsi="Times New Roman" w:cs="Times New Roman"/>
          <w:sz w:val="24"/>
          <w:szCs w:val="24"/>
          <w:lang w:val="es-MX" w:eastAsia="en-US"/>
        </w:rPr>
        <w:t xml:space="preserve"> 9.4% </w:t>
      </w:r>
      <w:r w:rsidR="000C0B8D" w:rsidRPr="006F14E7">
        <w:rPr>
          <w:rFonts w:ascii="Times New Roman" w:eastAsiaTheme="minorHAnsi" w:hAnsi="Times New Roman" w:cs="Times New Roman"/>
          <w:sz w:val="24"/>
          <w:szCs w:val="24"/>
          <w:lang w:val="es-MX" w:eastAsia="en-US"/>
        </w:rPr>
        <w:t xml:space="preserve">de las viviendas </w:t>
      </w:r>
      <w:r w:rsidRPr="006F14E7">
        <w:rPr>
          <w:rFonts w:ascii="Times New Roman" w:eastAsiaTheme="minorHAnsi" w:hAnsi="Times New Roman" w:cs="Times New Roman"/>
          <w:sz w:val="24"/>
          <w:szCs w:val="24"/>
          <w:lang w:val="es-MX" w:eastAsia="en-US"/>
        </w:rPr>
        <w:t xml:space="preserve">en localidades urbanas, mientras que en relación con las zonas rurales </w:t>
      </w:r>
      <w:r w:rsidR="000C0B8D" w:rsidRPr="006F14E7">
        <w:rPr>
          <w:rFonts w:ascii="Times New Roman" w:eastAsiaTheme="minorHAnsi" w:hAnsi="Times New Roman" w:cs="Times New Roman"/>
          <w:sz w:val="24"/>
          <w:szCs w:val="24"/>
          <w:lang w:val="es-MX" w:eastAsia="en-US"/>
        </w:rPr>
        <w:t>fue el</w:t>
      </w:r>
      <w:r w:rsidRPr="006F14E7">
        <w:rPr>
          <w:rFonts w:ascii="Times New Roman" w:eastAsiaTheme="minorHAnsi" w:hAnsi="Times New Roman" w:cs="Times New Roman"/>
          <w:sz w:val="24"/>
          <w:szCs w:val="24"/>
          <w:lang w:val="es-MX" w:eastAsia="en-US"/>
        </w:rPr>
        <w:t xml:space="preserve"> 50.4%.</w:t>
      </w:r>
    </w:p>
    <w:p w14:paraId="516F45BD" w14:textId="77777777" w:rsidR="006B38C9" w:rsidRPr="006F14E7" w:rsidRDefault="006B38C9" w:rsidP="009E3B50">
      <w:pPr>
        <w:pStyle w:val="Texto0"/>
        <w:spacing w:after="0" w:line="240" w:lineRule="auto"/>
        <w:ind w:firstLine="0"/>
        <w:rPr>
          <w:rFonts w:ascii="Times New Roman" w:eastAsiaTheme="minorHAnsi" w:hAnsi="Times New Roman" w:cs="Times New Roman"/>
          <w:sz w:val="24"/>
          <w:szCs w:val="24"/>
          <w:lang w:val="es-MX" w:eastAsia="en-US"/>
        </w:rPr>
      </w:pPr>
    </w:p>
    <w:p w14:paraId="34D357A6" w14:textId="6DF68BE0" w:rsidR="006B38C9"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Finalmente, de acuerdo con el </w:t>
      </w:r>
      <w:bookmarkStart w:id="12" w:name="_Hlk52035892"/>
      <w:r w:rsidRPr="006F14E7">
        <w:rPr>
          <w:rFonts w:ascii="Times New Roman" w:hAnsi="Times New Roman" w:cs="Times New Roman"/>
          <w:sz w:val="24"/>
          <w:szCs w:val="24"/>
        </w:rPr>
        <w:t xml:space="preserve">Estudio Diagnóstico del Derecho a la Vivienda Digna y Decorosa </w:t>
      </w:r>
      <w:proofErr w:type="gramStart"/>
      <w:r w:rsidRPr="006F14E7">
        <w:rPr>
          <w:rFonts w:ascii="Times New Roman" w:hAnsi="Times New Roman" w:cs="Times New Roman"/>
          <w:sz w:val="24"/>
          <w:szCs w:val="24"/>
        </w:rPr>
        <w:t>2018​</w:t>
      </w:r>
      <w:bookmarkEnd w:id="12"/>
      <w:r w:rsidRPr="006F14E7">
        <w:rPr>
          <w:rFonts w:ascii="Times New Roman" w:hAnsi="Times New Roman" w:cs="Times New Roman"/>
          <w:sz w:val="24"/>
          <w:szCs w:val="24"/>
        </w:rPr>
        <w:t>,</w:t>
      </w:r>
      <w:proofErr w:type="gramEnd"/>
      <w:r w:rsidRPr="006F14E7">
        <w:rPr>
          <w:rFonts w:ascii="Times New Roman" w:hAnsi="Times New Roman" w:cs="Times New Roman"/>
          <w:sz w:val="24"/>
          <w:szCs w:val="24"/>
        </w:rPr>
        <w:t xml:space="preserve"> en 2016 el 57.9% de las viviendas ubicadas en los cuatro primeros </w:t>
      </w:r>
      <w:proofErr w:type="spellStart"/>
      <w:r w:rsidRPr="006F14E7">
        <w:rPr>
          <w:rFonts w:ascii="Times New Roman" w:hAnsi="Times New Roman" w:cs="Times New Roman"/>
          <w:sz w:val="24"/>
          <w:szCs w:val="24"/>
        </w:rPr>
        <w:t>deciles</w:t>
      </w:r>
      <w:proofErr w:type="spellEnd"/>
      <w:r w:rsidRPr="006F14E7">
        <w:rPr>
          <w:rFonts w:ascii="Times New Roman" w:hAnsi="Times New Roman" w:cs="Times New Roman"/>
          <w:sz w:val="24"/>
          <w:szCs w:val="24"/>
        </w:rPr>
        <w:t xml:space="preserve"> de ingreso presentaron rezago</w:t>
      </w:r>
      <w:r w:rsidR="0078444C" w:rsidRPr="006F14E7">
        <w:rPr>
          <w:rFonts w:ascii="Times New Roman" w:hAnsi="Times New Roman" w:cs="Times New Roman"/>
          <w:sz w:val="24"/>
          <w:szCs w:val="24"/>
          <w:vertAlign w:val="superscript"/>
        </w:rPr>
        <w:t>(45</w:t>
      </w:r>
      <w:r w:rsidR="007E57C6"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además de encontrarse por debajo de la línea de pobreza. Esta situación se observó particularmente en las viviendas de Chiapas, Guerrero y Oaxaca, en contraste con Ciudad de México y Nuevo León, entidades con menor porcentaje de población por debajo de la línea de </w:t>
      </w:r>
      <w:proofErr w:type="gramStart"/>
      <w:r w:rsidRPr="006F14E7">
        <w:rPr>
          <w:rFonts w:ascii="Times New Roman" w:hAnsi="Times New Roman" w:cs="Times New Roman"/>
          <w:sz w:val="24"/>
          <w:szCs w:val="24"/>
        </w:rPr>
        <w:t>pobreza</w:t>
      </w:r>
      <w:r w:rsidRPr="006F14E7">
        <w:rPr>
          <w:rFonts w:ascii="Times New Roman" w:hAnsi="Times New Roman" w:cs="Times New Roman"/>
          <w:sz w:val="24"/>
          <w:szCs w:val="24"/>
          <w:vertAlign w:val="superscript"/>
        </w:rPr>
        <w:t>(</w:t>
      </w:r>
      <w:proofErr w:type="gramEnd"/>
      <w:r w:rsidR="0078444C" w:rsidRPr="006F14E7">
        <w:rPr>
          <w:rFonts w:ascii="Times New Roman" w:hAnsi="Times New Roman" w:cs="Times New Roman"/>
          <w:sz w:val="24"/>
          <w:szCs w:val="24"/>
          <w:vertAlign w:val="superscript"/>
        </w:rPr>
        <w:t>45</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2AD65C0A"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color w:val="4D4D4F"/>
          <w:sz w:val="24"/>
          <w:szCs w:val="24"/>
        </w:rPr>
      </w:pPr>
      <w:bookmarkStart w:id="13" w:name="_Hlk52036352"/>
    </w:p>
    <w:p w14:paraId="164D6790" w14:textId="77CEA0AE" w:rsidR="008F0AE8"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Con relación a la disponibilidad de infraestructura y servicios básicos en la vivienda, en 2016, </w:t>
      </w:r>
      <w:r w:rsidR="006F1DE3" w:rsidRPr="006F14E7">
        <w:rPr>
          <w:rFonts w:ascii="Times New Roman" w:hAnsi="Times New Roman" w:cs="Times New Roman"/>
          <w:sz w:val="24"/>
          <w:szCs w:val="24"/>
        </w:rPr>
        <w:t>solo el 19.3% de</w:t>
      </w:r>
      <w:r w:rsidRPr="006F14E7">
        <w:rPr>
          <w:rFonts w:ascii="Times New Roman" w:hAnsi="Times New Roman" w:cs="Times New Roman"/>
          <w:sz w:val="24"/>
          <w:szCs w:val="24"/>
        </w:rPr>
        <w:t xml:space="preserve"> las</w:t>
      </w:r>
      <w:r w:rsidR="006F1DE3" w:rsidRPr="006F14E7">
        <w:rPr>
          <w:rFonts w:ascii="Times New Roman" w:hAnsi="Times New Roman" w:cs="Times New Roman"/>
          <w:sz w:val="24"/>
          <w:szCs w:val="24"/>
        </w:rPr>
        <w:t xml:space="preserve"> viviendas</w:t>
      </w:r>
      <w:r w:rsidRPr="006F14E7">
        <w:rPr>
          <w:rFonts w:ascii="Times New Roman" w:hAnsi="Times New Roman" w:cs="Times New Roman"/>
          <w:sz w:val="24"/>
          <w:szCs w:val="24"/>
        </w:rPr>
        <w:t xml:space="preserve"> urbanas presentaron carencia por acceso a los servicios básicos</w:t>
      </w:r>
      <w:r w:rsidR="006F1DE3" w:rsidRPr="006F14E7">
        <w:rPr>
          <w:rFonts w:ascii="Times New Roman" w:hAnsi="Times New Roman" w:cs="Times New Roman"/>
          <w:sz w:val="24"/>
          <w:szCs w:val="24"/>
        </w:rPr>
        <w:t>, m</w:t>
      </w:r>
      <w:r w:rsidRPr="006F14E7">
        <w:rPr>
          <w:rFonts w:ascii="Times New Roman" w:hAnsi="Times New Roman" w:cs="Times New Roman"/>
          <w:sz w:val="24"/>
          <w:szCs w:val="24"/>
        </w:rPr>
        <w:t>ientras que en las viviendas rurales</w:t>
      </w:r>
      <w:r w:rsidR="006F1DE3" w:rsidRPr="006F14E7">
        <w:rPr>
          <w:rFonts w:ascii="Times New Roman" w:hAnsi="Times New Roman" w:cs="Times New Roman"/>
          <w:sz w:val="24"/>
          <w:szCs w:val="24"/>
        </w:rPr>
        <w:t xml:space="preserve"> fue</w:t>
      </w:r>
      <w:r w:rsidRPr="006F14E7">
        <w:rPr>
          <w:rFonts w:ascii="Times New Roman" w:hAnsi="Times New Roman" w:cs="Times New Roman"/>
          <w:sz w:val="24"/>
          <w:szCs w:val="24"/>
        </w:rPr>
        <w:t xml:space="preserve"> el 53.1%</w:t>
      </w:r>
      <w:r w:rsidRPr="006F14E7">
        <w:rPr>
          <w:rFonts w:ascii="Times New Roman" w:hAnsi="Times New Roman" w:cs="Times New Roman"/>
          <w:sz w:val="24"/>
          <w:szCs w:val="24"/>
          <w:vertAlign w:val="superscript"/>
        </w:rPr>
        <w:t>(</w:t>
      </w:r>
      <w:r w:rsidR="0078444C" w:rsidRPr="006F14E7">
        <w:rPr>
          <w:rFonts w:ascii="Times New Roman" w:hAnsi="Times New Roman" w:cs="Times New Roman"/>
          <w:sz w:val="24"/>
          <w:szCs w:val="24"/>
          <w:vertAlign w:val="superscript"/>
        </w:rPr>
        <w:t>45</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r w:rsidR="00832EBB" w:rsidRPr="006F14E7">
        <w:rPr>
          <w:rFonts w:ascii="Times New Roman" w:hAnsi="Times New Roman" w:cs="Times New Roman"/>
          <w:sz w:val="24"/>
          <w:szCs w:val="24"/>
        </w:rPr>
        <w:t xml:space="preserve"> </w:t>
      </w:r>
      <w:r w:rsidR="006F1DE3" w:rsidRPr="006F14E7">
        <w:rPr>
          <w:rFonts w:ascii="Times New Roman" w:hAnsi="Times New Roman" w:cs="Times New Roman"/>
          <w:sz w:val="24"/>
          <w:szCs w:val="24"/>
        </w:rPr>
        <w:t xml:space="preserve"> Así mismo</w:t>
      </w:r>
      <w:r w:rsidRPr="006F14E7">
        <w:rPr>
          <w:rFonts w:ascii="Times New Roman" w:hAnsi="Times New Roman" w:cs="Times New Roman"/>
          <w:sz w:val="24"/>
          <w:szCs w:val="24"/>
        </w:rPr>
        <w:t xml:space="preserve">, el índice de casas en las que se usó leña o carbón para cocinar </w:t>
      </w:r>
      <w:r w:rsidR="006F1DE3" w:rsidRPr="006F14E7">
        <w:rPr>
          <w:rFonts w:ascii="Times New Roman" w:hAnsi="Times New Roman" w:cs="Times New Roman"/>
          <w:sz w:val="24"/>
          <w:szCs w:val="24"/>
        </w:rPr>
        <w:t xml:space="preserve">tuvo una mayor carga </w:t>
      </w:r>
      <w:r w:rsidRPr="006F14E7">
        <w:rPr>
          <w:rFonts w:ascii="Times New Roman" w:hAnsi="Times New Roman" w:cs="Times New Roman"/>
          <w:sz w:val="24"/>
          <w:szCs w:val="24"/>
        </w:rPr>
        <w:t>en entidades como Chiapas (69.2%), Guerrero (67.4%) y Veracruz (65.2%)</w:t>
      </w:r>
      <w:r w:rsidR="006F1DE3" w:rsidRPr="006F14E7">
        <w:rPr>
          <w:rFonts w:ascii="Times New Roman" w:hAnsi="Times New Roman" w:cs="Times New Roman"/>
          <w:sz w:val="24"/>
          <w:szCs w:val="24"/>
        </w:rPr>
        <w:t>, e</w:t>
      </w:r>
      <w:r w:rsidRPr="006F14E7">
        <w:rPr>
          <w:rFonts w:ascii="Times New Roman" w:hAnsi="Times New Roman" w:cs="Times New Roman"/>
          <w:sz w:val="24"/>
          <w:szCs w:val="24"/>
        </w:rPr>
        <w:t>specialmente en hogares habitados por personas de lengua indígena</w:t>
      </w:r>
      <w:r w:rsidR="006F1DE3" w:rsidRPr="006F14E7">
        <w:rPr>
          <w:rFonts w:ascii="Times New Roman" w:hAnsi="Times New Roman" w:cs="Times New Roman"/>
          <w:sz w:val="24"/>
          <w:szCs w:val="24"/>
        </w:rPr>
        <w:t>,</w:t>
      </w:r>
      <w:r w:rsidRPr="006F14E7">
        <w:rPr>
          <w:rFonts w:ascii="Times New Roman" w:hAnsi="Times New Roman" w:cs="Times New Roman"/>
          <w:sz w:val="24"/>
          <w:szCs w:val="24"/>
        </w:rPr>
        <w:t xml:space="preserve"> el uso de le</w:t>
      </w:r>
      <w:r w:rsidR="004E7874" w:rsidRPr="006F14E7">
        <w:rPr>
          <w:rFonts w:ascii="Times New Roman" w:hAnsi="Times New Roman" w:cs="Times New Roman"/>
          <w:sz w:val="24"/>
          <w:szCs w:val="24"/>
        </w:rPr>
        <w:t>ñ</w:t>
      </w:r>
      <w:r w:rsidRPr="006F14E7">
        <w:rPr>
          <w:rFonts w:ascii="Times New Roman" w:hAnsi="Times New Roman" w:cs="Times New Roman"/>
          <w:sz w:val="24"/>
          <w:szCs w:val="24"/>
        </w:rPr>
        <w:t xml:space="preserve">a o carbón fue de del 58.8%, frente a la media nacional, que fue de 14.8%. </w:t>
      </w:r>
      <w:r w:rsidR="007E57C6" w:rsidRPr="006F14E7">
        <w:rPr>
          <w:rFonts w:ascii="Times New Roman" w:hAnsi="Times New Roman" w:cs="Times New Roman"/>
          <w:sz w:val="24"/>
          <w:szCs w:val="24"/>
          <w:vertAlign w:val="superscript"/>
        </w:rPr>
        <w:t>(11)</w:t>
      </w:r>
      <w:r w:rsidRPr="006F14E7">
        <w:rPr>
          <w:rFonts w:ascii="Times New Roman" w:hAnsi="Times New Roman" w:cs="Times New Roman"/>
          <w:sz w:val="24"/>
          <w:szCs w:val="24"/>
        </w:rPr>
        <w:t xml:space="preserve">. </w:t>
      </w:r>
      <w:bookmarkEnd w:id="13"/>
      <w:r w:rsidRPr="006F14E7">
        <w:rPr>
          <w:rFonts w:ascii="Times New Roman" w:hAnsi="Times New Roman" w:cs="Times New Roman"/>
          <w:sz w:val="24"/>
          <w:szCs w:val="24"/>
        </w:rPr>
        <w:t>Así, para finales del sexenio (2018), aunque el porcentaje de población con acceso a servicios básicos en la vivienda fue de 80.2%</w:t>
      </w:r>
      <w:r w:rsidRPr="006F14E7">
        <w:rPr>
          <w:rFonts w:ascii="Times New Roman" w:hAnsi="Times New Roman" w:cs="Times New Roman"/>
          <w:sz w:val="24"/>
          <w:szCs w:val="24"/>
          <w:vertAlign w:val="superscript"/>
        </w:rPr>
        <w:t>(</w:t>
      </w:r>
      <w:r w:rsidR="0078444C" w:rsidRPr="006F14E7">
        <w:rPr>
          <w:rFonts w:ascii="Times New Roman" w:hAnsi="Times New Roman" w:cs="Times New Roman"/>
          <w:sz w:val="24"/>
          <w:szCs w:val="24"/>
          <w:vertAlign w:val="superscript"/>
        </w:rPr>
        <w:t>45</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No obstante, l</w:t>
      </w:r>
      <w:r w:rsidR="00D916A7" w:rsidRPr="006F14E7">
        <w:rPr>
          <w:rFonts w:ascii="Times New Roman" w:hAnsi="Times New Roman" w:cs="Times New Roman"/>
          <w:sz w:val="24"/>
          <w:szCs w:val="24"/>
        </w:rPr>
        <w:t>os</w:t>
      </w:r>
      <w:r w:rsidR="006F1DE3" w:rsidRPr="006F14E7">
        <w:rPr>
          <w:rFonts w:ascii="Times New Roman" w:hAnsi="Times New Roman" w:cs="Times New Roman"/>
          <w:sz w:val="24"/>
          <w:szCs w:val="24"/>
        </w:rPr>
        <w:t xml:space="preserve"> </w:t>
      </w:r>
      <w:r w:rsidR="00647A34" w:rsidRPr="006F14E7">
        <w:rPr>
          <w:rFonts w:ascii="Times New Roman" w:hAnsi="Times New Roman" w:cs="Times New Roman"/>
          <w:sz w:val="24"/>
          <w:szCs w:val="24"/>
        </w:rPr>
        <w:t>h</w:t>
      </w:r>
      <w:r w:rsidR="006F1DE3" w:rsidRPr="006F14E7">
        <w:rPr>
          <w:rFonts w:ascii="Times New Roman" w:hAnsi="Times New Roman" w:cs="Times New Roman"/>
          <w:sz w:val="24"/>
          <w:szCs w:val="24"/>
        </w:rPr>
        <w:t xml:space="preserve">ogares con </w:t>
      </w:r>
      <w:r w:rsidR="002E456A" w:rsidRPr="006F14E7">
        <w:rPr>
          <w:rFonts w:ascii="Times New Roman" w:hAnsi="Times New Roman" w:cs="Times New Roman"/>
          <w:sz w:val="24"/>
          <w:szCs w:val="24"/>
        </w:rPr>
        <w:t>mayores carencias</w:t>
      </w:r>
      <w:r w:rsidR="006F1DE3" w:rsidRPr="006F14E7">
        <w:rPr>
          <w:rFonts w:ascii="Times New Roman" w:hAnsi="Times New Roman" w:cs="Times New Roman"/>
          <w:sz w:val="24"/>
          <w:szCs w:val="24"/>
        </w:rPr>
        <w:t xml:space="preserve"> </w:t>
      </w:r>
      <w:r w:rsidR="00647A34" w:rsidRPr="006F14E7">
        <w:rPr>
          <w:rFonts w:ascii="Times New Roman" w:hAnsi="Times New Roman" w:cs="Times New Roman"/>
          <w:sz w:val="24"/>
          <w:szCs w:val="24"/>
        </w:rPr>
        <w:t>continuaron</w:t>
      </w:r>
      <w:r w:rsidRPr="006F14E7">
        <w:rPr>
          <w:rFonts w:ascii="Times New Roman" w:hAnsi="Times New Roman" w:cs="Times New Roman"/>
          <w:sz w:val="24"/>
          <w:szCs w:val="24"/>
        </w:rPr>
        <w:t xml:space="preserve"> </w:t>
      </w:r>
      <w:r w:rsidR="00647A34" w:rsidRPr="006F14E7">
        <w:rPr>
          <w:rFonts w:ascii="Times New Roman" w:hAnsi="Times New Roman" w:cs="Times New Roman"/>
          <w:sz w:val="24"/>
          <w:szCs w:val="24"/>
        </w:rPr>
        <w:t>observándose</w:t>
      </w:r>
      <w:r w:rsidRPr="006F14E7">
        <w:rPr>
          <w:rFonts w:ascii="Times New Roman" w:hAnsi="Times New Roman" w:cs="Times New Roman"/>
          <w:sz w:val="24"/>
          <w:szCs w:val="24"/>
        </w:rPr>
        <w:t xml:space="preserve"> en estados como Guerrero (58</w:t>
      </w:r>
      <w:r w:rsidR="00647A34" w:rsidRPr="006F14E7">
        <w:rPr>
          <w:rFonts w:ascii="Times New Roman" w:hAnsi="Times New Roman" w:cs="Times New Roman"/>
          <w:sz w:val="24"/>
          <w:szCs w:val="24"/>
        </w:rPr>
        <w:t>%</w:t>
      </w:r>
      <w:r w:rsidRPr="006F14E7">
        <w:rPr>
          <w:rFonts w:ascii="Times New Roman" w:hAnsi="Times New Roman" w:cs="Times New Roman"/>
          <w:sz w:val="24"/>
          <w:szCs w:val="24"/>
        </w:rPr>
        <w:t>), Oaxaca (58</w:t>
      </w:r>
      <w:r w:rsidR="00647A34" w:rsidRPr="006F14E7">
        <w:rPr>
          <w:rFonts w:ascii="Times New Roman" w:hAnsi="Times New Roman" w:cs="Times New Roman"/>
          <w:sz w:val="24"/>
          <w:szCs w:val="24"/>
        </w:rPr>
        <w:t>%</w:t>
      </w:r>
      <w:r w:rsidRPr="006F14E7">
        <w:rPr>
          <w:rFonts w:ascii="Times New Roman" w:hAnsi="Times New Roman" w:cs="Times New Roman"/>
          <w:sz w:val="24"/>
          <w:szCs w:val="24"/>
        </w:rPr>
        <w:t>) y Chiapas (57</w:t>
      </w:r>
      <w:r w:rsidR="00647A34" w:rsidRPr="006F14E7">
        <w:rPr>
          <w:rFonts w:ascii="Times New Roman" w:hAnsi="Times New Roman" w:cs="Times New Roman"/>
          <w:sz w:val="24"/>
          <w:szCs w:val="24"/>
        </w:rPr>
        <w:t>%</w:t>
      </w:r>
      <w:r w:rsidRPr="006F14E7">
        <w:rPr>
          <w:rFonts w:ascii="Times New Roman" w:hAnsi="Times New Roman" w:cs="Times New Roman"/>
          <w:sz w:val="24"/>
          <w:szCs w:val="24"/>
        </w:rPr>
        <w:t>)</w:t>
      </w:r>
      <w:r w:rsidR="00647A34" w:rsidRPr="006F14E7">
        <w:rPr>
          <w:rFonts w:ascii="Times New Roman" w:hAnsi="Times New Roman" w:cs="Times New Roman"/>
          <w:sz w:val="24"/>
          <w:szCs w:val="24"/>
        </w:rPr>
        <w:t>, en comparación con</w:t>
      </w:r>
      <w:r w:rsidRPr="006F14E7">
        <w:rPr>
          <w:rFonts w:ascii="Times New Roman" w:hAnsi="Times New Roman" w:cs="Times New Roman"/>
          <w:sz w:val="24"/>
          <w:szCs w:val="24"/>
        </w:rPr>
        <w:t xml:space="preserve"> estados como Aguascalientes (2.5</w:t>
      </w:r>
      <w:r w:rsidR="00647A34" w:rsidRPr="006F14E7">
        <w:rPr>
          <w:rFonts w:ascii="Times New Roman" w:hAnsi="Times New Roman" w:cs="Times New Roman"/>
          <w:sz w:val="24"/>
          <w:szCs w:val="24"/>
        </w:rPr>
        <w:t>%</w:t>
      </w:r>
      <w:r w:rsidRPr="006F14E7">
        <w:rPr>
          <w:rFonts w:ascii="Times New Roman" w:hAnsi="Times New Roman" w:cs="Times New Roman"/>
          <w:sz w:val="24"/>
          <w:szCs w:val="24"/>
        </w:rPr>
        <w:t>) y Nuevo León (2.4</w:t>
      </w:r>
      <w:r w:rsidR="00647A34" w:rsidRPr="006F14E7">
        <w:rPr>
          <w:rFonts w:ascii="Times New Roman" w:hAnsi="Times New Roman" w:cs="Times New Roman"/>
          <w:sz w:val="24"/>
          <w:szCs w:val="24"/>
        </w:rPr>
        <w:t>%</w:t>
      </w:r>
      <w:proofErr w:type="gramStart"/>
      <w:r w:rsidRPr="006F14E7">
        <w:rPr>
          <w:rFonts w:ascii="Times New Roman" w:hAnsi="Times New Roman" w:cs="Times New Roman"/>
          <w:sz w:val="24"/>
          <w:szCs w:val="24"/>
        </w:rPr>
        <w:t>)</w:t>
      </w:r>
      <w:r w:rsidRPr="006F14E7">
        <w:rPr>
          <w:rFonts w:ascii="Times New Roman" w:hAnsi="Times New Roman" w:cs="Times New Roman"/>
          <w:sz w:val="24"/>
          <w:szCs w:val="24"/>
          <w:vertAlign w:val="superscript"/>
        </w:rPr>
        <w:t>(</w:t>
      </w:r>
      <w:proofErr w:type="gramEnd"/>
      <w:r w:rsidR="0078444C" w:rsidRPr="006F14E7">
        <w:rPr>
          <w:rFonts w:ascii="Times New Roman" w:hAnsi="Times New Roman" w:cs="Times New Roman"/>
          <w:sz w:val="24"/>
          <w:szCs w:val="24"/>
          <w:vertAlign w:val="superscript"/>
        </w:rPr>
        <w:t>20</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w:t>
      </w:r>
    </w:p>
    <w:p w14:paraId="5D70796B" w14:textId="58AC311B" w:rsidR="003506DB"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lastRenderedPageBreak/>
        <w:drawing>
          <wp:inline distT="0" distB="0" distL="0" distR="0" wp14:anchorId="3C4277E9" wp14:editId="5458C598">
            <wp:extent cx="5605145" cy="2362200"/>
            <wp:effectExtent l="0" t="0" r="14605" b="0"/>
            <wp:docPr id="17" name="Gráfico 1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170AE12-1753-479B-8D77-0C856591D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6F14E7">
        <w:rPr>
          <w:rFonts w:ascii="Times New Roman" w:hAnsi="Times New Roman" w:cs="Times New Roman"/>
          <w:b/>
          <w:bCs/>
        </w:rPr>
        <w:t>Fuente: (</w:t>
      </w:r>
      <w:r w:rsidR="00B0243D" w:rsidRPr="006F14E7">
        <w:rPr>
          <w:rFonts w:ascii="Times New Roman" w:hAnsi="Times New Roman" w:cs="Times New Roman"/>
        </w:rPr>
        <w:t>CONEVAL,</w:t>
      </w:r>
      <w:r w:rsidRPr="006F14E7">
        <w:rPr>
          <w:rFonts w:ascii="Times New Roman" w:hAnsi="Times New Roman" w:cs="Times New Roman"/>
        </w:rPr>
        <w:t xml:space="preserve"> 2020</w:t>
      </w:r>
      <w:r w:rsidR="00B0243D" w:rsidRPr="006F14E7">
        <w:rPr>
          <w:rFonts w:ascii="Times New Roman" w:hAnsi="Times New Roman" w:cs="Times New Roman"/>
        </w:rPr>
        <w:t>b</w:t>
      </w:r>
      <w:r w:rsidRPr="006F14E7">
        <w:rPr>
          <w:rFonts w:ascii="Times New Roman" w:hAnsi="Times New Roman" w:cs="Times New Roman"/>
        </w:rPr>
        <w:t>)</w:t>
      </w:r>
    </w:p>
    <w:p w14:paraId="266350DE" w14:textId="77777777" w:rsidR="0002109E" w:rsidRPr="006F14E7" w:rsidRDefault="0002109E" w:rsidP="009E3B50">
      <w:pPr>
        <w:autoSpaceDE w:val="0"/>
        <w:autoSpaceDN w:val="0"/>
        <w:adjustRightInd w:val="0"/>
        <w:spacing w:after="0" w:line="240" w:lineRule="auto"/>
        <w:jc w:val="both"/>
        <w:rPr>
          <w:rFonts w:ascii="Times New Roman" w:hAnsi="Times New Roman" w:cs="Times New Roman"/>
          <w:b/>
          <w:bCs/>
          <w:sz w:val="24"/>
          <w:szCs w:val="24"/>
        </w:rPr>
      </w:pPr>
    </w:p>
    <w:p w14:paraId="407C7EC5" w14:textId="5962D12C" w:rsidR="006B38C9" w:rsidRPr="006F14E7" w:rsidRDefault="00411BC8" w:rsidP="009E3B50">
      <w:pPr>
        <w:pStyle w:val="Prrafodelista"/>
        <w:numPr>
          <w:ilvl w:val="0"/>
          <w:numId w:val="19"/>
        </w:numPr>
        <w:autoSpaceDE w:val="0"/>
        <w:autoSpaceDN w:val="0"/>
        <w:adjustRightInd w:val="0"/>
        <w:spacing w:after="0" w:line="240" w:lineRule="auto"/>
        <w:jc w:val="both"/>
        <w:rPr>
          <w:rFonts w:ascii="Times New Roman" w:hAnsi="Times New Roman" w:cs="Times New Roman"/>
          <w:b/>
          <w:bCs/>
          <w:sz w:val="24"/>
          <w:szCs w:val="24"/>
        </w:rPr>
      </w:pPr>
      <w:r w:rsidRPr="006F14E7">
        <w:rPr>
          <w:rFonts w:ascii="Times New Roman" w:hAnsi="Times New Roman" w:cs="Times New Roman"/>
          <w:b/>
          <w:bCs/>
          <w:sz w:val="24"/>
          <w:szCs w:val="24"/>
        </w:rPr>
        <w:t>Estados de salud y l</w:t>
      </w:r>
      <w:r w:rsidR="006B38C9" w:rsidRPr="006F14E7">
        <w:rPr>
          <w:rFonts w:ascii="Times New Roman" w:hAnsi="Times New Roman" w:cs="Times New Roman"/>
          <w:b/>
          <w:bCs/>
          <w:sz w:val="24"/>
          <w:szCs w:val="24"/>
        </w:rPr>
        <w:t>etalidad por cont</w:t>
      </w:r>
      <w:r w:rsidR="00E200B4" w:rsidRPr="006F14E7">
        <w:rPr>
          <w:rFonts w:ascii="Times New Roman" w:hAnsi="Times New Roman" w:cs="Times New Roman"/>
          <w:b/>
          <w:bCs/>
          <w:sz w:val="24"/>
          <w:szCs w:val="24"/>
        </w:rPr>
        <w:t>agio</w:t>
      </w:r>
      <w:r w:rsidR="006B38C9" w:rsidRPr="006F14E7">
        <w:rPr>
          <w:rFonts w:ascii="Times New Roman" w:hAnsi="Times New Roman" w:cs="Times New Roman"/>
          <w:b/>
          <w:bCs/>
          <w:sz w:val="24"/>
          <w:szCs w:val="24"/>
        </w:rPr>
        <w:t xml:space="preserve"> de Covid-19 </w:t>
      </w:r>
    </w:p>
    <w:p w14:paraId="51E9A6BC" w14:textId="0B977A0D" w:rsidR="006B38C9"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De acuerdo con los datos registrados hasta el día 18 de noviembre del 2020, contenidos en el “COVID-19 Tablero México” de </w:t>
      </w:r>
      <w:proofErr w:type="spellStart"/>
      <w:r w:rsidRPr="006F14E7">
        <w:rPr>
          <w:rFonts w:ascii="Times New Roman" w:hAnsi="Times New Roman" w:cs="Times New Roman"/>
          <w:sz w:val="24"/>
          <w:szCs w:val="24"/>
        </w:rPr>
        <w:t>CONACyT</w:t>
      </w:r>
      <w:proofErr w:type="spellEnd"/>
      <w:r w:rsidRPr="006F14E7">
        <w:rPr>
          <w:rFonts w:ascii="Times New Roman" w:hAnsi="Times New Roman" w:cs="Times New Roman"/>
          <w:sz w:val="24"/>
          <w:szCs w:val="24"/>
        </w:rPr>
        <w:t xml:space="preserve">, </w:t>
      </w:r>
      <w:r w:rsidR="00E200B4" w:rsidRPr="006F14E7">
        <w:rPr>
          <w:rFonts w:ascii="Times New Roman" w:hAnsi="Times New Roman" w:cs="Times New Roman"/>
          <w:sz w:val="24"/>
          <w:szCs w:val="24"/>
        </w:rPr>
        <w:t>las entidades</w:t>
      </w:r>
      <w:r w:rsidRPr="006F14E7">
        <w:rPr>
          <w:rFonts w:ascii="Times New Roman" w:hAnsi="Times New Roman" w:cs="Times New Roman"/>
          <w:sz w:val="24"/>
          <w:szCs w:val="24"/>
        </w:rPr>
        <w:t xml:space="preserve"> con </w:t>
      </w:r>
      <w:r w:rsidR="00E200B4" w:rsidRPr="006F14E7">
        <w:rPr>
          <w:rFonts w:ascii="Times New Roman" w:hAnsi="Times New Roman" w:cs="Times New Roman"/>
          <w:sz w:val="24"/>
          <w:szCs w:val="24"/>
        </w:rPr>
        <w:t xml:space="preserve">la </w:t>
      </w:r>
      <w:r w:rsidRPr="006F14E7">
        <w:rPr>
          <w:rFonts w:ascii="Times New Roman" w:hAnsi="Times New Roman" w:cs="Times New Roman"/>
          <w:sz w:val="24"/>
          <w:szCs w:val="24"/>
        </w:rPr>
        <w:t xml:space="preserve">mayor proporción y menor proporción de pobreza consideradas en la </w:t>
      </w:r>
      <w:r w:rsidR="00E200B4" w:rsidRPr="006F14E7">
        <w:rPr>
          <w:rFonts w:ascii="Times New Roman" w:hAnsi="Times New Roman" w:cs="Times New Roman"/>
          <w:sz w:val="24"/>
          <w:szCs w:val="24"/>
        </w:rPr>
        <w:t>gráfica</w:t>
      </w:r>
      <w:r w:rsidR="004E7874" w:rsidRPr="006F14E7">
        <w:rPr>
          <w:rFonts w:ascii="Times New Roman" w:hAnsi="Times New Roman" w:cs="Times New Roman"/>
          <w:sz w:val="24"/>
          <w:szCs w:val="24"/>
        </w:rPr>
        <w:t xml:space="preserve"> </w:t>
      </w:r>
      <w:r w:rsidR="00E200B4" w:rsidRPr="006F14E7">
        <w:rPr>
          <w:rFonts w:ascii="Times New Roman" w:hAnsi="Times New Roman" w:cs="Times New Roman"/>
          <w:sz w:val="24"/>
          <w:szCs w:val="24"/>
        </w:rPr>
        <w:t>5</w:t>
      </w:r>
      <w:r w:rsidRPr="006F14E7">
        <w:rPr>
          <w:rFonts w:ascii="Times New Roman" w:hAnsi="Times New Roman" w:cs="Times New Roman"/>
          <w:sz w:val="24"/>
          <w:szCs w:val="24"/>
        </w:rPr>
        <w:t xml:space="preserve"> mostraron una importante brecha en materia de letalidad, entendida </w:t>
      </w:r>
      <w:r w:rsidR="004E7874" w:rsidRPr="006F14E7">
        <w:rPr>
          <w:rFonts w:ascii="Times New Roman" w:hAnsi="Times New Roman" w:cs="Times New Roman"/>
          <w:sz w:val="24"/>
          <w:szCs w:val="24"/>
        </w:rPr>
        <w:t>e</w:t>
      </w:r>
      <w:r w:rsidRPr="006F14E7">
        <w:rPr>
          <w:rFonts w:ascii="Times New Roman" w:hAnsi="Times New Roman" w:cs="Times New Roman"/>
          <w:sz w:val="24"/>
          <w:szCs w:val="24"/>
        </w:rPr>
        <w:t>sta, a partir de la relación entre el acumulado de contagios con relación al acumulado de muertes asociadas a dicho contagio. En este sentido se pudo observar qué los estados con mayor proporción de pobreza también registraron una mayor letalidad Frente al contagio por Covid-19. Por su parte Chiapas, Veracruz y Puebla duplicaron la letalidad de casi todos los estados más ricos</w:t>
      </w:r>
      <w:r w:rsidR="00E200B4" w:rsidRPr="006F14E7">
        <w:rPr>
          <w:rFonts w:ascii="Times New Roman" w:hAnsi="Times New Roman" w:cs="Times New Roman"/>
          <w:sz w:val="24"/>
          <w:szCs w:val="24"/>
        </w:rPr>
        <w:t xml:space="preserve"> </w:t>
      </w:r>
      <w:r w:rsidR="003D2C18" w:rsidRPr="006F14E7">
        <w:rPr>
          <w:rFonts w:ascii="Times New Roman" w:hAnsi="Times New Roman" w:cs="Times New Roman"/>
          <w:sz w:val="24"/>
          <w:szCs w:val="24"/>
        </w:rPr>
        <w:t>(</w:t>
      </w:r>
      <w:r w:rsidR="00E200B4" w:rsidRPr="006F14E7">
        <w:rPr>
          <w:rFonts w:ascii="Times New Roman" w:hAnsi="Times New Roman" w:cs="Times New Roman"/>
          <w:sz w:val="24"/>
          <w:szCs w:val="24"/>
        </w:rPr>
        <w:t xml:space="preserve">ver en el </w:t>
      </w:r>
      <w:r w:rsidR="003D2C18" w:rsidRPr="006F14E7">
        <w:rPr>
          <w:rFonts w:ascii="Times New Roman" w:hAnsi="Times New Roman" w:cs="Times New Roman"/>
          <w:sz w:val="24"/>
          <w:szCs w:val="24"/>
        </w:rPr>
        <w:t>M</w:t>
      </w:r>
      <w:r w:rsidR="00E200B4" w:rsidRPr="006F14E7">
        <w:rPr>
          <w:rFonts w:ascii="Times New Roman" w:hAnsi="Times New Roman" w:cs="Times New Roman"/>
          <w:sz w:val="24"/>
          <w:szCs w:val="24"/>
        </w:rPr>
        <w:t>apa 1</w:t>
      </w:r>
      <w:r w:rsidR="003D2C18" w:rsidRPr="006F14E7">
        <w:rPr>
          <w:rFonts w:ascii="Times New Roman" w:hAnsi="Times New Roman" w:cs="Times New Roman"/>
          <w:sz w:val="24"/>
          <w:szCs w:val="24"/>
        </w:rPr>
        <w:t>)</w:t>
      </w:r>
      <w:r w:rsidR="00E200B4" w:rsidRPr="006F14E7">
        <w:rPr>
          <w:rFonts w:ascii="Times New Roman" w:hAnsi="Times New Roman" w:cs="Times New Roman"/>
          <w:sz w:val="24"/>
          <w:szCs w:val="24"/>
        </w:rPr>
        <w:t>.</w:t>
      </w:r>
    </w:p>
    <w:p w14:paraId="0A01AB91" w14:textId="77777777" w:rsidR="008F55CA" w:rsidRPr="006F14E7" w:rsidRDefault="008F55CA" w:rsidP="009E3B50">
      <w:pPr>
        <w:autoSpaceDE w:val="0"/>
        <w:autoSpaceDN w:val="0"/>
        <w:adjustRightInd w:val="0"/>
        <w:spacing w:after="0" w:line="240" w:lineRule="auto"/>
        <w:jc w:val="both"/>
        <w:rPr>
          <w:rFonts w:ascii="Times New Roman" w:hAnsi="Times New Roman" w:cs="Times New Roman"/>
          <w:sz w:val="24"/>
          <w:szCs w:val="24"/>
        </w:rPr>
      </w:pPr>
    </w:p>
    <w:p w14:paraId="0BAE5E8F"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3C9C353B" wp14:editId="6CA13760">
            <wp:extent cx="5605145" cy="2247900"/>
            <wp:effectExtent l="0" t="0" r="14605" b="0"/>
            <wp:docPr id="1" name="Gráfico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CC940E5-F9F7-4015-83CE-7455DBAB5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6E396A" w14:textId="54F77720" w:rsidR="006B38C9" w:rsidRPr="006F14E7" w:rsidRDefault="00D41831" w:rsidP="009E3B50">
      <w:pPr>
        <w:spacing w:after="0" w:line="240" w:lineRule="auto"/>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xml:space="preserve"> Elaboración propia (</w:t>
      </w:r>
      <w:proofErr w:type="spellStart"/>
      <w:r w:rsidRPr="006F14E7">
        <w:rPr>
          <w:rFonts w:ascii="Times New Roman" w:hAnsi="Times New Roman" w:cs="Times New Roman"/>
        </w:rPr>
        <w:t>CONACyT</w:t>
      </w:r>
      <w:proofErr w:type="spellEnd"/>
      <w:r w:rsidRPr="006F14E7">
        <w:rPr>
          <w:rFonts w:ascii="Times New Roman" w:hAnsi="Times New Roman" w:cs="Times New Roman"/>
        </w:rPr>
        <w:t>, 2020: CONEVAL, 2020ª)</w:t>
      </w:r>
    </w:p>
    <w:p w14:paraId="05357160" w14:textId="77777777" w:rsidR="005414F7" w:rsidRPr="006F14E7" w:rsidRDefault="005414F7" w:rsidP="009E3B50">
      <w:pPr>
        <w:spacing w:after="0" w:line="240" w:lineRule="auto"/>
        <w:jc w:val="both"/>
        <w:rPr>
          <w:rFonts w:ascii="Times New Roman" w:hAnsi="Times New Roman" w:cs="Times New Roman"/>
          <w:sz w:val="24"/>
          <w:szCs w:val="24"/>
        </w:rPr>
      </w:pPr>
    </w:p>
    <w:p w14:paraId="56E3D4B4" w14:textId="4281FAFF" w:rsidR="00832EBB"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Con base a los datos del tablero COVID-19, la hipertensión arterial es, a nivel nacional, la primera comorbilidad asociada a las complicaciones por contagio de Covid-19, de las cuales la mayoría concluyen en muerte. En este sentido, la prevalencia de los municipios seleccionados, ubicados en los estados con mayor y menor proporción de pobreza, </w:t>
      </w:r>
      <w:r w:rsidRPr="006F14E7">
        <w:rPr>
          <w:rFonts w:ascii="Times New Roman" w:hAnsi="Times New Roman" w:cs="Times New Roman"/>
          <w:sz w:val="24"/>
          <w:szCs w:val="24"/>
        </w:rPr>
        <w:lastRenderedPageBreak/>
        <w:t xml:space="preserve">revelaron que su respectiva condición socioeconómica no guardó alguna coincidencia con la prevalencia de dicha comorbilidad. Tal fue el caso del municipio las </w:t>
      </w:r>
      <w:proofErr w:type="spellStart"/>
      <w:r w:rsidRPr="006F14E7">
        <w:rPr>
          <w:rFonts w:ascii="Times New Roman" w:hAnsi="Times New Roman" w:cs="Times New Roman"/>
          <w:sz w:val="24"/>
          <w:szCs w:val="24"/>
        </w:rPr>
        <w:t>Choapas</w:t>
      </w:r>
      <w:proofErr w:type="spellEnd"/>
      <w:r w:rsidRPr="006F14E7">
        <w:rPr>
          <w:rFonts w:ascii="Times New Roman" w:hAnsi="Times New Roman" w:cs="Times New Roman"/>
          <w:sz w:val="24"/>
          <w:szCs w:val="24"/>
        </w:rPr>
        <w:t xml:space="preserve">, Veracruz (20.5%) y el municipio de Monclova, Coahuila (20.4%), así como en municipio de Jesús María, Aguascalientes (12.4%) y </w:t>
      </w:r>
      <w:proofErr w:type="spellStart"/>
      <w:r w:rsidRPr="006F14E7">
        <w:rPr>
          <w:rFonts w:ascii="Times New Roman" w:hAnsi="Times New Roman" w:cs="Times New Roman"/>
          <w:sz w:val="24"/>
          <w:szCs w:val="24"/>
        </w:rPr>
        <w:t>Ojitlán</w:t>
      </w:r>
      <w:proofErr w:type="spellEnd"/>
      <w:r w:rsidRPr="006F14E7">
        <w:rPr>
          <w:rFonts w:ascii="Times New Roman" w:hAnsi="Times New Roman" w:cs="Times New Roman"/>
          <w:sz w:val="24"/>
          <w:szCs w:val="24"/>
        </w:rPr>
        <w:t>, Oaxaca (12.2%</w:t>
      </w:r>
      <w:proofErr w:type="gramStart"/>
      <w:r w:rsidRPr="006F14E7">
        <w:rPr>
          <w:rFonts w:ascii="Times New Roman" w:hAnsi="Times New Roman" w:cs="Times New Roman"/>
          <w:sz w:val="24"/>
          <w:szCs w:val="24"/>
        </w:rPr>
        <w:t>)</w:t>
      </w:r>
      <w:r w:rsidR="0078444C" w:rsidRPr="006F14E7">
        <w:rPr>
          <w:rFonts w:ascii="Times New Roman" w:hAnsi="Times New Roman" w:cs="Times New Roman"/>
          <w:sz w:val="24"/>
          <w:szCs w:val="24"/>
          <w:vertAlign w:val="superscript"/>
        </w:rPr>
        <w:t>(</w:t>
      </w:r>
      <w:proofErr w:type="gramEnd"/>
      <w:r w:rsidR="0078444C" w:rsidRPr="006F14E7">
        <w:rPr>
          <w:rFonts w:ascii="Times New Roman" w:hAnsi="Times New Roman" w:cs="Times New Roman"/>
          <w:sz w:val="24"/>
          <w:szCs w:val="24"/>
          <w:vertAlign w:val="superscript"/>
        </w:rPr>
        <w:t>5,6</w:t>
      </w:r>
      <w:r w:rsidR="007E57C6" w:rsidRPr="006F14E7">
        <w:rPr>
          <w:rFonts w:ascii="Times New Roman" w:hAnsi="Times New Roman" w:cs="Times New Roman"/>
          <w:sz w:val="24"/>
          <w:szCs w:val="24"/>
          <w:vertAlign w:val="superscript"/>
        </w:rPr>
        <w:t>)</w:t>
      </w:r>
      <w:r w:rsidR="007E57C6" w:rsidRPr="006F14E7">
        <w:rPr>
          <w:rFonts w:ascii="Times New Roman" w:hAnsi="Times New Roman" w:cs="Times New Roman"/>
          <w:sz w:val="24"/>
          <w:szCs w:val="24"/>
        </w:rPr>
        <w:t>.</w:t>
      </w:r>
    </w:p>
    <w:p w14:paraId="38C494AC" w14:textId="77777777" w:rsidR="00411BC8" w:rsidRPr="006F14E7" w:rsidRDefault="00411BC8" w:rsidP="009E3B50">
      <w:pPr>
        <w:spacing w:after="0" w:line="240" w:lineRule="auto"/>
        <w:jc w:val="both"/>
        <w:rPr>
          <w:rFonts w:ascii="Times New Roman" w:hAnsi="Times New Roman" w:cs="Times New Roman"/>
          <w:sz w:val="24"/>
          <w:szCs w:val="24"/>
        </w:rPr>
      </w:pPr>
    </w:p>
    <w:p w14:paraId="19135BBB" w14:textId="77777777" w:rsidR="006B38C9" w:rsidRPr="006F14E7" w:rsidRDefault="006B38C9" w:rsidP="009E3B50">
      <w:pPr>
        <w:spacing w:after="0" w:line="240" w:lineRule="auto"/>
        <w:jc w:val="center"/>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2FC84821" wp14:editId="7FD651EF">
            <wp:extent cx="5459095" cy="2171700"/>
            <wp:effectExtent l="0" t="0" r="8255" b="0"/>
            <wp:docPr id="491230794" name="Gráfico 49123079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2EB7D5F-745A-4B45-B446-541790B2F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B2CBC9" w14:textId="6D3C8E67" w:rsidR="006B38C9" w:rsidRPr="006F14E7" w:rsidRDefault="00D41831" w:rsidP="009E3B50">
      <w:pPr>
        <w:spacing w:after="0" w:line="240" w:lineRule="auto"/>
        <w:rPr>
          <w:rFonts w:ascii="Times New Roman" w:hAnsi="Times New Roman" w:cs="Times New Roman"/>
        </w:rPr>
      </w:pPr>
      <w:r w:rsidRPr="006F14E7">
        <w:rPr>
          <w:rFonts w:ascii="Times New Roman" w:hAnsi="Times New Roman" w:cs="Times New Roman"/>
          <w:b/>
          <w:bCs/>
        </w:rPr>
        <w:t>Fuente:</w:t>
      </w:r>
      <w:r w:rsidRPr="006F14E7">
        <w:rPr>
          <w:rFonts w:ascii="Times New Roman" w:hAnsi="Times New Roman" w:cs="Times New Roman"/>
        </w:rPr>
        <w:t xml:space="preserve"> Elaboración propia (INEGI, 2020).</w:t>
      </w:r>
    </w:p>
    <w:p w14:paraId="472FEF4B" w14:textId="77777777" w:rsidR="00A46D95" w:rsidRPr="006F14E7" w:rsidRDefault="00A46D95" w:rsidP="009E3B50">
      <w:pPr>
        <w:spacing w:after="0" w:line="240" w:lineRule="auto"/>
        <w:rPr>
          <w:rFonts w:ascii="Times New Roman" w:hAnsi="Times New Roman" w:cs="Times New Roman"/>
          <w:sz w:val="24"/>
          <w:szCs w:val="24"/>
        </w:rPr>
      </w:pPr>
    </w:p>
    <w:p w14:paraId="30A4B208" w14:textId="446916F7" w:rsidR="007E57C6"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Como segunda comorbilidad asociada a las complicaciones tras el contagio por Covid-19, la prevalencia de diabetes mellitus tampoco coincidió con la proporción de pobreza en los municipios seleccionados, ya que como se puede ver en la gráfica</w:t>
      </w:r>
      <w:r w:rsidR="00E200B4" w:rsidRPr="006F14E7">
        <w:rPr>
          <w:rFonts w:ascii="Times New Roman" w:hAnsi="Times New Roman" w:cs="Times New Roman"/>
          <w:sz w:val="24"/>
          <w:szCs w:val="24"/>
        </w:rPr>
        <w:t xml:space="preserve"> 13</w:t>
      </w:r>
      <w:r w:rsidRPr="006F14E7">
        <w:rPr>
          <w:rFonts w:ascii="Times New Roman" w:hAnsi="Times New Roman" w:cs="Times New Roman"/>
          <w:sz w:val="24"/>
          <w:szCs w:val="24"/>
        </w:rPr>
        <w:t xml:space="preserve">, el municipio más rico del país, San Pedro Garza García (Nuevo León), registró la misma proporción de diabetes que uno de los municipios más pobres de México, las </w:t>
      </w:r>
      <w:proofErr w:type="spellStart"/>
      <w:r w:rsidRPr="006F14E7">
        <w:rPr>
          <w:rFonts w:ascii="Times New Roman" w:hAnsi="Times New Roman" w:cs="Times New Roman"/>
          <w:sz w:val="24"/>
          <w:szCs w:val="24"/>
        </w:rPr>
        <w:t>Choapas</w:t>
      </w:r>
      <w:proofErr w:type="spellEnd"/>
      <w:r w:rsidRPr="006F14E7">
        <w:rPr>
          <w:rFonts w:ascii="Times New Roman" w:hAnsi="Times New Roman" w:cs="Times New Roman"/>
          <w:sz w:val="24"/>
          <w:szCs w:val="24"/>
        </w:rPr>
        <w:t xml:space="preserve"> (Veracruz). De igual forma, esta comorbilidad se registró en la misma proporción en el municipio de Hermosillo (Sonora) que en </w:t>
      </w:r>
      <w:proofErr w:type="spellStart"/>
      <w:r w:rsidRPr="006F14E7">
        <w:rPr>
          <w:rFonts w:ascii="Times New Roman" w:hAnsi="Times New Roman" w:cs="Times New Roman"/>
          <w:sz w:val="24"/>
          <w:szCs w:val="24"/>
        </w:rPr>
        <w:t>Ojitlán</w:t>
      </w:r>
      <w:proofErr w:type="spellEnd"/>
      <w:r w:rsidRPr="006F14E7">
        <w:rPr>
          <w:rFonts w:ascii="Times New Roman" w:hAnsi="Times New Roman" w:cs="Times New Roman"/>
          <w:sz w:val="24"/>
          <w:szCs w:val="24"/>
        </w:rPr>
        <w:t xml:space="preserve"> (Oaxaca). Así mismo, el municipio de La Paz (Baja California Sur) registró una prevalencia similar a la de Venustiano Carranza, (Puebla</w:t>
      </w:r>
      <w:proofErr w:type="gramStart"/>
      <w:r w:rsidRPr="006F14E7">
        <w:rPr>
          <w:rFonts w:ascii="Times New Roman" w:hAnsi="Times New Roman" w:cs="Times New Roman"/>
          <w:sz w:val="24"/>
          <w:szCs w:val="24"/>
        </w:rPr>
        <w:t>)</w:t>
      </w:r>
      <w:r w:rsidR="0078444C" w:rsidRPr="006F14E7">
        <w:rPr>
          <w:rFonts w:ascii="Times New Roman" w:hAnsi="Times New Roman" w:cs="Times New Roman"/>
          <w:sz w:val="24"/>
          <w:szCs w:val="24"/>
          <w:vertAlign w:val="superscript"/>
        </w:rPr>
        <w:t>(</w:t>
      </w:r>
      <w:proofErr w:type="gramEnd"/>
      <w:r w:rsidR="0078444C" w:rsidRPr="006F14E7">
        <w:rPr>
          <w:rFonts w:ascii="Times New Roman" w:hAnsi="Times New Roman" w:cs="Times New Roman"/>
          <w:sz w:val="24"/>
          <w:szCs w:val="24"/>
          <w:vertAlign w:val="superscript"/>
        </w:rPr>
        <w:t>5,6</w:t>
      </w:r>
      <w:r w:rsidR="007E57C6"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w:t>
      </w:r>
    </w:p>
    <w:p w14:paraId="2B9E094F" w14:textId="77777777" w:rsidR="008F0AE8" w:rsidRPr="006F14E7" w:rsidRDefault="008F0AE8" w:rsidP="009E3B50">
      <w:pPr>
        <w:spacing w:after="0" w:line="240" w:lineRule="auto"/>
        <w:jc w:val="both"/>
        <w:rPr>
          <w:rFonts w:ascii="Times New Roman" w:hAnsi="Times New Roman" w:cs="Times New Roman"/>
          <w:sz w:val="24"/>
          <w:szCs w:val="24"/>
        </w:rPr>
      </w:pPr>
    </w:p>
    <w:p w14:paraId="1BE10966" w14:textId="77777777" w:rsidR="006B38C9" w:rsidRPr="006F14E7" w:rsidRDefault="006B38C9" w:rsidP="009E3B50">
      <w:pPr>
        <w:spacing w:after="0" w:line="240" w:lineRule="auto"/>
        <w:jc w:val="center"/>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2D3F486C" wp14:editId="5C124BF6">
            <wp:extent cx="5537200" cy="2183130"/>
            <wp:effectExtent l="0" t="0" r="6350" b="7620"/>
            <wp:docPr id="491230795" name="Gráfico 49123079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95B0CF4-5974-4197-A730-90025E786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4325D54" w14:textId="15C18A2F" w:rsidR="0053740A" w:rsidRPr="006F14E7" w:rsidRDefault="0053740A" w:rsidP="009E3B50">
      <w:pPr>
        <w:spacing w:after="0" w:line="240" w:lineRule="auto"/>
        <w:jc w:val="both"/>
        <w:rPr>
          <w:rFonts w:ascii="Times New Roman" w:hAnsi="Times New Roman" w:cs="Times New Roman"/>
        </w:rPr>
      </w:pPr>
      <w:r w:rsidRPr="006F14E7">
        <w:rPr>
          <w:rFonts w:ascii="Times New Roman" w:hAnsi="Times New Roman" w:cs="Times New Roman"/>
          <w:b/>
          <w:bCs/>
        </w:rPr>
        <w:t xml:space="preserve">Fuente: </w:t>
      </w:r>
      <w:r w:rsidRPr="006F14E7">
        <w:rPr>
          <w:rFonts w:ascii="Times New Roman" w:hAnsi="Times New Roman" w:cs="Times New Roman"/>
        </w:rPr>
        <w:t xml:space="preserve">Elaboración propia (INEGI, 2020). </w:t>
      </w:r>
    </w:p>
    <w:p w14:paraId="3CDEF575" w14:textId="77777777" w:rsidR="00411BC8" w:rsidRPr="006F14E7" w:rsidRDefault="00411BC8" w:rsidP="009E3B50">
      <w:pPr>
        <w:spacing w:after="0" w:line="240" w:lineRule="auto"/>
        <w:jc w:val="both"/>
        <w:rPr>
          <w:rFonts w:ascii="Times New Roman" w:hAnsi="Times New Roman" w:cs="Times New Roman"/>
        </w:rPr>
      </w:pPr>
    </w:p>
    <w:p w14:paraId="5AD20706" w14:textId="1B71C352"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Por último, la prevalencia de obesidad en los municipios seleccionados no representó algún tipo de coincidencia con su respectiva condiciones económica, tal fue la similitud que hubo </w:t>
      </w:r>
      <w:r w:rsidRPr="006F14E7">
        <w:rPr>
          <w:rFonts w:ascii="Times New Roman" w:hAnsi="Times New Roman" w:cs="Times New Roman"/>
          <w:sz w:val="24"/>
          <w:szCs w:val="24"/>
        </w:rPr>
        <w:lastRenderedPageBreak/>
        <w:t xml:space="preserve">en la proporción de obesidad registrada entre el municipio más rico de México, San Pedro Garza García, (Nuevo León) (35.2%) y  el municipio de las </w:t>
      </w:r>
      <w:proofErr w:type="spellStart"/>
      <w:r w:rsidRPr="006F14E7">
        <w:rPr>
          <w:rFonts w:ascii="Times New Roman" w:hAnsi="Times New Roman" w:cs="Times New Roman"/>
          <w:sz w:val="24"/>
          <w:szCs w:val="24"/>
        </w:rPr>
        <w:t>Choapas</w:t>
      </w:r>
      <w:proofErr w:type="spellEnd"/>
      <w:r w:rsidRPr="006F14E7">
        <w:rPr>
          <w:rFonts w:ascii="Times New Roman" w:hAnsi="Times New Roman" w:cs="Times New Roman"/>
          <w:sz w:val="24"/>
          <w:szCs w:val="24"/>
        </w:rPr>
        <w:t xml:space="preserve"> (Veracruz)  (36.7%), así como la similitud que se observó entre el municipio Jesús María (Aguascalientes) (34.7%) y el municipio de </w:t>
      </w:r>
      <w:proofErr w:type="spellStart"/>
      <w:r w:rsidRPr="006F14E7">
        <w:rPr>
          <w:rFonts w:ascii="Times New Roman" w:hAnsi="Times New Roman" w:cs="Times New Roman"/>
          <w:sz w:val="24"/>
          <w:szCs w:val="24"/>
        </w:rPr>
        <w:t>Ojitlán</w:t>
      </w:r>
      <w:proofErr w:type="spellEnd"/>
      <w:r w:rsidRPr="006F14E7">
        <w:rPr>
          <w:rFonts w:ascii="Times New Roman" w:hAnsi="Times New Roman" w:cs="Times New Roman"/>
          <w:sz w:val="24"/>
          <w:szCs w:val="24"/>
        </w:rPr>
        <w:t xml:space="preserve"> (Oaxaca) (31.6%)</w:t>
      </w:r>
      <w:r w:rsidR="0078444C" w:rsidRPr="006F14E7">
        <w:rPr>
          <w:rFonts w:ascii="Times New Roman" w:hAnsi="Times New Roman" w:cs="Times New Roman"/>
          <w:sz w:val="24"/>
          <w:szCs w:val="24"/>
          <w:vertAlign w:val="superscript"/>
        </w:rPr>
        <w:t>(5,6</w:t>
      </w:r>
      <w:r w:rsidR="007E57C6"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46645D00" w14:textId="1A97B118" w:rsidR="006B38C9" w:rsidRPr="006F14E7" w:rsidRDefault="006B38C9" w:rsidP="009E3B50">
      <w:pPr>
        <w:spacing w:after="0" w:line="240" w:lineRule="auto"/>
        <w:jc w:val="both"/>
        <w:rPr>
          <w:rFonts w:ascii="Times New Roman" w:hAnsi="Times New Roman" w:cs="Times New Roman"/>
          <w:sz w:val="24"/>
          <w:szCs w:val="24"/>
        </w:rPr>
      </w:pPr>
    </w:p>
    <w:p w14:paraId="4871AE53" w14:textId="77777777" w:rsidR="006937F7" w:rsidRPr="006F14E7" w:rsidRDefault="006937F7" w:rsidP="009E3B50">
      <w:pPr>
        <w:spacing w:after="0" w:line="240" w:lineRule="auto"/>
        <w:jc w:val="both"/>
        <w:rPr>
          <w:rFonts w:ascii="Times New Roman" w:hAnsi="Times New Roman" w:cs="Times New Roman"/>
          <w:sz w:val="24"/>
          <w:szCs w:val="24"/>
        </w:rPr>
      </w:pPr>
    </w:p>
    <w:p w14:paraId="1350B174" w14:textId="77777777" w:rsidR="006B38C9" w:rsidRPr="006F14E7" w:rsidRDefault="006B38C9" w:rsidP="009E3B50">
      <w:pPr>
        <w:spacing w:after="0" w:line="240" w:lineRule="auto"/>
        <w:jc w:val="center"/>
        <w:rPr>
          <w:rFonts w:ascii="Times New Roman" w:hAnsi="Times New Roman" w:cs="Times New Roman"/>
          <w:sz w:val="24"/>
          <w:szCs w:val="24"/>
        </w:rPr>
      </w:pPr>
      <w:r w:rsidRPr="006F14E7">
        <w:rPr>
          <w:rFonts w:ascii="Times New Roman" w:hAnsi="Times New Roman" w:cs="Times New Roman"/>
          <w:noProof/>
          <w:sz w:val="24"/>
          <w:szCs w:val="24"/>
          <w:lang w:val="es-CL" w:eastAsia="es-CL"/>
        </w:rPr>
        <w:drawing>
          <wp:inline distT="0" distB="0" distL="0" distR="0" wp14:anchorId="3A3C9DE9" wp14:editId="21573AE8">
            <wp:extent cx="5527343" cy="2620370"/>
            <wp:effectExtent l="0" t="0" r="16510" b="8890"/>
            <wp:docPr id="58" name="Gráfico 5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37CB6F5-9618-43BC-96F1-6EF5B3C39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39BCF8" w14:textId="4C39805E" w:rsidR="00247C0D" w:rsidRPr="006F14E7" w:rsidRDefault="0053740A" w:rsidP="009E3B50">
      <w:pPr>
        <w:spacing w:after="0" w:line="240" w:lineRule="auto"/>
        <w:jc w:val="both"/>
        <w:rPr>
          <w:rFonts w:ascii="Times New Roman" w:hAnsi="Times New Roman" w:cs="Times New Roman"/>
        </w:rPr>
      </w:pPr>
      <w:r w:rsidRPr="006F14E7">
        <w:rPr>
          <w:rFonts w:ascii="Times New Roman" w:hAnsi="Times New Roman" w:cs="Times New Roman"/>
        </w:rPr>
        <w:t xml:space="preserve">Fuente: Elaboración propia (INEGI, 2020). </w:t>
      </w:r>
    </w:p>
    <w:p w14:paraId="54FE644C" w14:textId="77777777" w:rsidR="006937F7" w:rsidRPr="006F14E7" w:rsidRDefault="006937F7" w:rsidP="009E3B50">
      <w:pPr>
        <w:spacing w:after="0" w:line="240" w:lineRule="auto"/>
        <w:jc w:val="both"/>
        <w:rPr>
          <w:rFonts w:ascii="Times New Roman" w:hAnsi="Times New Roman" w:cs="Times New Roman"/>
        </w:rPr>
      </w:pPr>
    </w:p>
    <w:p w14:paraId="69995C75" w14:textId="77777777" w:rsidR="00647A34" w:rsidRPr="006F14E7" w:rsidRDefault="00647A34" w:rsidP="009E3B50">
      <w:pPr>
        <w:spacing w:after="0" w:line="240" w:lineRule="auto"/>
        <w:jc w:val="both"/>
        <w:rPr>
          <w:rFonts w:ascii="Times New Roman" w:hAnsi="Times New Roman" w:cs="Times New Roman"/>
          <w:sz w:val="24"/>
          <w:szCs w:val="24"/>
        </w:rPr>
      </w:pPr>
    </w:p>
    <w:p w14:paraId="0C1346A5" w14:textId="5A9438E8" w:rsidR="00247C0D" w:rsidRPr="006F14E7" w:rsidRDefault="00247C0D"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Asimismo, se seleccionó un municipio por cada una de las entidades con mayor y menor proporción de pobreza, en el que también se recuperó la proporción de letalidad, además de recuperar el índice de pobreza de cada municipio con base al visor geoespacial de pobreza ubicado en la página de </w:t>
      </w:r>
      <w:proofErr w:type="spellStart"/>
      <w:proofErr w:type="gramStart"/>
      <w:r w:rsidRPr="006F14E7">
        <w:rPr>
          <w:rFonts w:ascii="Times New Roman" w:hAnsi="Times New Roman" w:cs="Times New Roman"/>
          <w:sz w:val="24"/>
          <w:szCs w:val="24"/>
        </w:rPr>
        <w:t>Coneval</w:t>
      </w:r>
      <w:proofErr w:type="spellEnd"/>
      <w:r w:rsidR="007E414D" w:rsidRPr="006F14E7">
        <w:rPr>
          <w:rFonts w:ascii="Times New Roman" w:hAnsi="Times New Roman" w:cs="Times New Roman"/>
          <w:sz w:val="24"/>
          <w:szCs w:val="24"/>
          <w:vertAlign w:val="superscript"/>
        </w:rPr>
        <w:t>(</w:t>
      </w:r>
      <w:proofErr w:type="gramEnd"/>
      <w:r w:rsidR="007E414D" w:rsidRPr="006F14E7">
        <w:rPr>
          <w:rFonts w:ascii="Times New Roman" w:hAnsi="Times New Roman" w:cs="Times New Roman"/>
          <w:sz w:val="24"/>
          <w:szCs w:val="24"/>
          <w:vertAlign w:val="superscript"/>
        </w:rPr>
        <w:t>6</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Con base a dichos datos se pudo observar las brechas que existen entre los municipios de los estados más ricos (los cuales se encuentran en el centro y norte del país), en contraste con los municipios de los estados más pobres (los cuales se encuentran en el sur del país). Además de ello, se pudo observar la coincidencia entre la proporción de pobreza con relación a la proporción de letalidad por contagio de Covid-19. En este sentido el rango de pobreza de las alcaldías municipios o delegaciones más ricas osciló entre el 4.1% y el 25%, frente al rango de pobreza que se observó los municipios más pobres, el cual osciló entre el 67% y el 93.5%. De la misma forma el rango de letalidad entre los municipios más ricos osciló entre el 4% y el 8.1%, en contraste con la proporción de letalidad de los municipios más pobres, la cual se encontró entre 11.6% y el 34.2%</w:t>
      </w:r>
      <w:r w:rsidR="007E414D" w:rsidRPr="006F14E7">
        <w:rPr>
          <w:rFonts w:ascii="Times New Roman" w:hAnsi="Times New Roman" w:cs="Times New Roman"/>
          <w:sz w:val="24"/>
          <w:szCs w:val="24"/>
          <w:vertAlign w:val="superscript"/>
        </w:rPr>
        <w:t>(5,6</w:t>
      </w:r>
      <w:r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w:t>
      </w:r>
    </w:p>
    <w:p w14:paraId="588DBE82" w14:textId="50D2536D" w:rsidR="009E3B50" w:rsidRDefault="009E3B50" w:rsidP="009E3B50">
      <w:pPr>
        <w:spacing w:after="0" w:line="240" w:lineRule="auto"/>
        <w:jc w:val="both"/>
        <w:rPr>
          <w:rFonts w:ascii="Times New Roman" w:hAnsi="Times New Roman" w:cs="Times New Roman"/>
          <w:sz w:val="24"/>
          <w:szCs w:val="24"/>
        </w:rPr>
      </w:pPr>
    </w:p>
    <w:p w14:paraId="7D86A3F9" w14:textId="77777777" w:rsidR="00F24498" w:rsidRDefault="00F24498" w:rsidP="009E3B50">
      <w:pPr>
        <w:spacing w:after="0" w:line="240" w:lineRule="auto"/>
        <w:jc w:val="both"/>
        <w:rPr>
          <w:rFonts w:ascii="Times New Roman" w:hAnsi="Times New Roman" w:cs="Times New Roman"/>
          <w:sz w:val="24"/>
          <w:szCs w:val="24"/>
        </w:rPr>
      </w:pPr>
    </w:p>
    <w:p w14:paraId="314D91C7" w14:textId="77777777" w:rsidR="00F24498" w:rsidRDefault="00F24498" w:rsidP="009E3B50">
      <w:pPr>
        <w:spacing w:after="0" w:line="240" w:lineRule="auto"/>
        <w:jc w:val="both"/>
        <w:rPr>
          <w:rFonts w:ascii="Times New Roman" w:hAnsi="Times New Roman" w:cs="Times New Roman"/>
          <w:sz w:val="24"/>
          <w:szCs w:val="24"/>
        </w:rPr>
      </w:pPr>
    </w:p>
    <w:p w14:paraId="07DE3EC3" w14:textId="77777777" w:rsidR="00F24498" w:rsidRDefault="00F24498" w:rsidP="009E3B50">
      <w:pPr>
        <w:spacing w:after="0" w:line="240" w:lineRule="auto"/>
        <w:jc w:val="both"/>
        <w:rPr>
          <w:rFonts w:ascii="Times New Roman" w:hAnsi="Times New Roman" w:cs="Times New Roman"/>
          <w:sz w:val="24"/>
          <w:szCs w:val="24"/>
        </w:rPr>
      </w:pPr>
    </w:p>
    <w:p w14:paraId="741A6C8B" w14:textId="77777777" w:rsidR="00F24498" w:rsidRPr="006F14E7" w:rsidRDefault="00F24498" w:rsidP="009E3B50">
      <w:pPr>
        <w:spacing w:after="0" w:line="240" w:lineRule="auto"/>
        <w:jc w:val="both"/>
        <w:rPr>
          <w:rFonts w:ascii="Times New Roman" w:hAnsi="Times New Roman" w:cs="Times New Roman"/>
          <w:sz w:val="24"/>
          <w:szCs w:val="24"/>
        </w:rPr>
      </w:pPr>
    </w:p>
    <w:p w14:paraId="2FD7510B" w14:textId="724CE1AB" w:rsidR="009E3B50" w:rsidRPr="006F14E7" w:rsidRDefault="009E3B50" w:rsidP="009E3B50">
      <w:pPr>
        <w:spacing w:after="0" w:line="240" w:lineRule="auto"/>
        <w:jc w:val="both"/>
        <w:rPr>
          <w:rFonts w:ascii="Times New Roman" w:hAnsi="Times New Roman" w:cs="Times New Roman"/>
          <w:sz w:val="24"/>
          <w:szCs w:val="24"/>
        </w:rPr>
      </w:pPr>
    </w:p>
    <w:p w14:paraId="0A7A52B0" w14:textId="11C2DD44" w:rsidR="009E3B50" w:rsidRPr="006F14E7" w:rsidRDefault="009E3B50" w:rsidP="009E3B50">
      <w:pPr>
        <w:spacing w:after="0" w:line="240" w:lineRule="auto"/>
        <w:jc w:val="both"/>
        <w:rPr>
          <w:rFonts w:ascii="Times New Roman" w:hAnsi="Times New Roman" w:cs="Times New Roman"/>
          <w:sz w:val="24"/>
          <w:szCs w:val="24"/>
        </w:rPr>
      </w:pPr>
    </w:p>
    <w:p w14:paraId="5E83DC89" w14:textId="1A36259E" w:rsidR="00647A34" w:rsidRPr="006F14E7" w:rsidRDefault="00647A34" w:rsidP="009E3B50">
      <w:pPr>
        <w:spacing w:after="0" w:line="240" w:lineRule="auto"/>
        <w:jc w:val="center"/>
        <w:rPr>
          <w:rFonts w:ascii="Times New Roman" w:hAnsi="Times New Roman" w:cs="Times New Roman"/>
          <w:b/>
          <w:bCs/>
        </w:rPr>
      </w:pPr>
      <w:r w:rsidRPr="006F14E7">
        <w:rPr>
          <w:rFonts w:ascii="Times New Roman" w:hAnsi="Times New Roman" w:cs="Times New Roman"/>
          <w:b/>
          <w:bCs/>
        </w:rPr>
        <w:lastRenderedPageBreak/>
        <w:t>Mapa 1</w:t>
      </w:r>
      <w:r w:rsidRPr="006F14E7">
        <w:rPr>
          <w:rFonts w:ascii="Times New Roman" w:hAnsi="Times New Roman" w:cs="Times New Roman"/>
        </w:rPr>
        <w:t>. Letalidad por contagio de covid-19 en municipios de México</w:t>
      </w:r>
      <w:r w:rsidR="00576C40" w:rsidRPr="006F14E7">
        <w:rPr>
          <w:rFonts w:ascii="Times New Roman" w:hAnsi="Times New Roman" w:cs="Times New Roman"/>
        </w:rPr>
        <w:t xml:space="preserve"> 2020</w:t>
      </w:r>
    </w:p>
    <w:p w14:paraId="03B056E7" w14:textId="59273BA0" w:rsidR="00647A34" w:rsidRPr="006F14E7" w:rsidRDefault="00230936" w:rsidP="009E3B50">
      <w:pPr>
        <w:spacing w:after="0" w:line="240" w:lineRule="auto"/>
        <w:jc w:val="both"/>
        <w:rPr>
          <w:rFonts w:ascii="Times New Roman" w:hAnsi="Times New Roman" w:cs="Times New Roman"/>
        </w:rPr>
      </w:pPr>
      <w:r w:rsidRPr="006F14E7">
        <w:rPr>
          <w:rFonts w:ascii="Times New Roman" w:hAnsi="Times New Roman" w:cs="Times New Roman"/>
          <w:noProof/>
          <w:lang w:val="es-CL" w:eastAsia="es-CL"/>
        </w:rPr>
        <w:drawing>
          <wp:inline distT="0" distB="0" distL="0" distR="0" wp14:anchorId="316A41FF" wp14:editId="6A1DC23F">
            <wp:extent cx="5715000" cy="3493770"/>
            <wp:effectExtent l="0" t="0" r="0" b="0"/>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pic:nvPicPr>
                  <pic:blipFill rotWithShape="1">
                    <a:blip r:embed="rId29"/>
                    <a:srcRect l="34481" t="17523" r="1476" b="10358"/>
                    <a:stretch/>
                  </pic:blipFill>
                  <pic:spPr bwMode="auto">
                    <a:xfrm>
                      <a:off x="0" y="0"/>
                      <a:ext cx="5766290" cy="3525125"/>
                    </a:xfrm>
                    <a:prstGeom prst="rect">
                      <a:avLst/>
                    </a:prstGeom>
                    <a:ln>
                      <a:noFill/>
                    </a:ln>
                    <a:extLst>
                      <a:ext uri="{53640926-AAD7-44D8-BBD7-CCE9431645EC}">
                        <a14:shadowObscured xmlns:a14="http://schemas.microsoft.com/office/drawing/2010/main"/>
                      </a:ext>
                    </a:extLst>
                  </pic:spPr>
                </pic:pic>
              </a:graphicData>
            </a:graphic>
          </wp:inline>
        </w:drawing>
      </w:r>
      <w:r w:rsidR="00647A34" w:rsidRPr="006F14E7">
        <w:rPr>
          <w:rFonts w:ascii="Times New Roman" w:hAnsi="Times New Roman" w:cs="Times New Roman"/>
          <w:b/>
          <w:bCs/>
        </w:rPr>
        <w:t>Fuente:</w:t>
      </w:r>
      <w:r w:rsidR="00647A34" w:rsidRPr="006F14E7">
        <w:rPr>
          <w:rFonts w:ascii="Times New Roman" w:hAnsi="Times New Roman" w:cs="Times New Roman"/>
        </w:rPr>
        <w:t xml:space="preserve"> Elaboración propia (</w:t>
      </w:r>
      <w:proofErr w:type="spellStart"/>
      <w:r w:rsidR="00647A34" w:rsidRPr="006F14E7">
        <w:rPr>
          <w:rFonts w:ascii="Times New Roman" w:hAnsi="Times New Roman" w:cs="Times New Roman"/>
        </w:rPr>
        <w:t>CONACyT</w:t>
      </w:r>
      <w:proofErr w:type="spellEnd"/>
      <w:r w:rsidR="00647A34" w:rsidRPr="006F14E7">
        <w:rPr>
          <w:rFonts w:ascii="Times New Roman" w:hAnsi="Times New Roman" w:cs="Times New Roman"/>
        </w:rPr>
        <w:t>, 2020: CONEVAL, 2020</w:t>
      </w:r>
      <w:r w:rsidR="003D2C18" w:rsidRPr="006F14E7">
        <w:rPr>
          <w:rFonts w:ascii="Times New Roman" w:hAnsi="Times New Roman" w:cs="Times New Roman"/>
        </w:rPr>
        <w:t>a</w:t>
      </w:r>
      <w:r w:rsidR="00647A34" w:rsidRPr="006F14E7">
        <w:rPr>
          <w:rFonts w:ascii="Times New Roman" w:hAnsi="Times New Roman" w:cs="Times New Roman"/>
        </w:rPr>
        <w:t>)</w:t>
      </w:r>
      <w:r w:rsidR="00950495" w:rsidRPr="006F14E7">
        <w:rPr>
          <w:rFonts w:ascii="Times New Roman" w:hAnsi="Times New Roman" w:cs="Times New Roman"/>
        </w:rPr>
        <w:t>.</w:t>
      </w:r>
    </w:p>
    <w:p w14:paraId="5127480F" w14:textId="3E5AA2C2" w:rsidR="00950495" w:rsidRPr="006F14E7" w:rsidRDefault="00950495" w:rsidP="009E3B50">
      <w:pPr>
        <w:spacing w:after="0" w:line="240" w:lineRule="auto"/>
        <w:jc w:val="both"/>
        <w:rPr>
          <w:rFonts w:ascii="Times New Roman" w:hAnsi="Times New Roman" w:cs="Times New Roman"/>
          <w:sz w:val="24"/>
          <w:szCs w:val="24"/>
        </w:rPr>
      </w:pPr>
    </w:p>
    <w:p w14:paraId="3622BC93" w14:textId="77777777" w:rsidR="006937F7" w:rsidRPr="006F14E7" w:rsidRDefault="006937F7" w:rsidP="009E3B50">
      <w:pPr>
        <w:spacing w:after="0" w:line="240" w:lineRule="auto"/>
        <w:jc w:val="both"/>
        <w:rPr>
          <w:rFonts w:ascii="Times New Roman" w:hAnsi="Times New Roman" w:cs="Times New Roman"/>
          <w:sz w:val="24"/>
          <w:szCs w:val="24"/>
        </w:rPr>
      </w:pPr>
    </w:p>
    <w:p w14:paraId="044E7958" w14:textId="63BA699C" w:rsidR="006B38C9" w:rsidRPr="006F14E7" w:rsidRDefault="0053740A" w:rsidP="002E456A">
      <w:pPr>
        <w:pStyle w:val="Prrafodelista"/>
        <w:numPr>
          <w:ilvl w:val="0"/>
          <w:numId w:val="24"/>
        </w:numPr>
        <w:spacing w:after="0" w:line="240" w:lineRule="auto"/>
        <w:jc w:val="center"/>
        <w:rPr>
          <w:rFonts w:ascii="Times New Roman" w:hAnsi="Times New Roman" w:cs="Times New Roman"/>
          <w:b/>
          <w:bCs/>
          <w:sz w:val="24"/>
          <w:szCs w:val="24"/>
        </w:rPr>
      </w:pPr>
      <w:r w:rsidRPr="006F14E7">
        <w:rPr>
          <w:rFonts w:ascii="Times New Roman" w:hAnsi="Times New Roman" w:cs="Times New Roman"/>
          <w:b/>
          <w:bCs/>
          <w:sz w:val="24"/>
          <w:szCs w:val="24"/>
        </w:rPr>
        <w:t>DISCUSIÓN</w:t>
      </w:r>
    </w:p>
    <w:p w14:paraId="5A1C4D51" w14:textId="77777777" w:rsidR="00656589" w:rsidRPr="006F14E7" w:rsidRDefault="00656589" w:rsidP="009E3B50">
      <w:pPr>
        <w:spacing w:after="0" w:line="240" w:lineRule="auto"/>
        <w:jc w:val="both"/>
        <w:rPr>
          <w:rFonts w:ascii="Times New Roman" w:eastAsia="MS PGothic" w:hAnsi="Times New Roman" w:cs="Times New Roman"/>
          <w:color w:val="000000"/>
          <w:sz w:val="24"/>
          <w:szCs w:val="24"/>
        </w:rPr>
      </w:pPr>
    </w:p>
    <w:p w14:paraId="619F90CD" w14:textId="7F60CA2A" w:rsidR="006B38C9" w:rsidRPr="006F14E7" w:rsidRDefault="006B38C9" w:rsidP="009E3B50">
      <w:pPr>
        <w:spacing w:after="0" w:line="240" w:lineRule="auto"/>
        <w:jc w:val="both"/>
        <w:rPr>
          <w:rFonts w:ascii="Times New Roman" w:eastAsia="MS PGothic" w:hAnsi="Times New Roman" w:cs="Times New Roman"/>
          <w:color w:val="000000"/>
          <w:sz w:val="24"/>
          <w:szCs w:val="24"/>
        </w:rPr>
      </w:pPr>
      <w:r w:rsidRPr="006F14E7">
        <w:rPr>
          <w:rFonts w:ascii="Times New Roman" w:eastAsia="MS PGothic" w:hAnsi="Times New Roman" w:cs="Times New Roman"/>
          <w:color w:val="000000"/>
          <w:sz w:val="24"/>
          <w:szCs w:val="24"/>
        </w:rPr>
        <w:t xml:space="preserve">Desde la perspectiva de la Determinación Social, la salud es </w:t>
      </w:r>
      <w:bookmarkStart w:id="14" w:name="_Hlk40743351"/>
      <w:r w:rsidRPr="006F14E7">
        <w:rPr>
          <w:rFonts w:ascii="Times New Roman" w:eastAsia="MS PGothic" w:hAnsi="Times New Roman" w:cs="Times New Roman"/>
          <w:color w:val="000000"/>
          <w:sz w:val="24"/>
          <w:szCs w:val="24"/>
        </w:rPr>
        <w:t>concebida como “una relación dialéctica entre lo biológico y lo social, en una estructura jerárquica donde lo biológico queda subsumido en lo social, mediante procesos de producción y reproducción social</w:t>
      </w:r>
      <w:proofErr w:type="gramStart"/>
      <w:r w:rsidRPr="006F14E7">
        <w:rPr>
          <w:rFonts w:ascii="Times New Roman" w:eastAsia="MS PGothic" w:hAnsi="Times New Roman" w:cs="Times New Roman"/>
          <w:color w:val="000000"/>
          <w:sz w:val="24"/>
          <w:szCs w:val="24"/>
        </w:rPr>
        <w:t>”</w:t>
      </w:r>
      <w:r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46</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w:t>
      </w:r>
      <w:bookmarkEnd w:id="14"/>
      <w:r w:rsidRPr="006F14E7">
        <w:rPr>
          <w:rFonts w:ascii="Times New Roman" w:eastAsia="MS PGothic" w:hAnsi="Times New Roman" w:cs="Times New Roman"/>
          <w:color w:val="000000"/>
          <w:sz w:val="24"/>
          <w:szCs w:val="24"/>
        </w:rPr>
        <w:t xml:space="preserve"> Es decir, la salud, además de estar socialmente determinada, tiene un carácter social en sí mismo, en consecuencia, es concebida en función de los procesos sociales que transforman los procesos biológicos, más allá de las probabilidades de exposición a factores de </w:t>
      </w:r>
      <w:proofErr w:type="gramStart"/>
      <w:r w:rsidRPr="006F14E7">
        <w:rPr>
          <w:rFonts w:ascii="Times New Roman" w:eastAsia="MS PGothic" w:hAnsi="Times New Roman" w:cs="Times New Roman"/>
          <w:color w:val="000000"/>
          <w:sz w:val="24"/>
          <w:szCs w:val="24"/>
        </w:rPr>
        <w:t>riesgo</w:t>
      </w:r>
      <w:r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25</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Así mismo, el estudio de la salud es abordado como “un proceso histórico (...) complejo y multidimensional que abarca la producción de condiciones de salud y de vida, (...) sometido a su vez a las relaciones productivas y sociales de un sistema de acumulación de poder y cultura” </w:t>
      </w:r>
      <w:r w:rsidRPr="006F14E7">
        <w:rPr>
          <w:rFonts w:ascii="Times New Roman" w:eastAsia="MS PGothic" w:hAnsi="Times New Roman" w:cs="Times New Roman"/>
          <w:color w:val="000000"/>
          <w:sz w:val="24"/>
          <w:szCs w:val="24"/>
          <w:vertAlign w:val="superscript"/>
        </w:rPr>
        <w:t>(</w:t>
      </w:r>
      <w:r w:rsidR="00F84CC7" w:rsidRPr="006F14E7">
        <w:rPr>
          <w:rFonts w:ascii="Times New Roman" w:eastAsia="MS PGothic" w:hAnsi="Times New Roman" w:cs="Times New Roman"/>
          <w:color w:val="000000"/>
          <w:sz w:val="24"/>
          <w:szCs w:val="24"/>
          <w:vertAlign w:val="superscript"/>
        </w:rPr>
        <w:t>47</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En este sentido, el objetivo de la Determinación Social es “des</w:t>
      </w:r>
      <w:r w:rsidRPr="006F14E7">
        <w:rPr>
          <w:rFonts w:ascii="Times New Roman" w:eastAsia="MS PGothic" w:hAnsi="Times New Roman" w:cs="Times New Roman"/>
          <w:color w:val="000000"/>
          <w:sz w:val="24"/>
          <w:szCs w:val="24"/>
        </w:rPr>
        <w:softHyphen/>
        <w:t>cifrar el movimiento de la vida, de su metabolismo histórico en la naturaleza, de los modos de vivir tí</w:t>
      </w:r>
      <w:r w:rsidRPr="006F14E7">
        <w:rPr>
          <w:rFonts w:ascii="Times New Roman" w:eastAsia="MS PGothic" w:hAnsi="Times New Roman" w:cs="Times New Roman"/>
          <w:color w:val="000000"/>
          <w:sz w:val="24"/>
          <w:szCs w:val="24"/>
        </w:rPr>
        <w:softHyphen/>
        <w:t>picos (económicos, políticos, culturales) y del movi</w:t>
      </w:r>
      <w:r w:rsidRPr="006F14E7">
        <w:rPr>
          <w:rFonts w:ascii="Times New Roman" w:eastAsia="MS PGothic" w:hAnsi="Times New Roman" w:cs="Times New Roman"/>
          <w:color w:val="000000"/>
          <w:sz w:val="24"/>
          <w:szCs w:val="24"/>
        </w:rPr>
        <w:softHyphen/>
        <w:t xml:space="preserve">miento de los </w:t>
      </w:r>
      <w:proofErr w:type="spellStart"/>
      <w:r w:rsidRPr="006F14E7">
        <w:rPr>
          <w:rFonts w:ascii="Times New Roman" w:eastAsia="MS PGothic" w:hAnsi="Times New Roman" w:cs="Times New Roman"/>
          <w:color w:val="000000"/>
          <w:sz w:val="24"/>
          <w:szCs w:val="24"/>
        </w:rPr>
        <w:t>geno</w:t>
      </w:r>
      <w:proofErr w:type="spellEnd"/>
      <w:r w:rsidRPr="006F14E7">
        <w:rPr>
          <w:rFonts w:ascii="Times New Roman" w:eastAsia="MS PGothic" w:hAnsi="Times New Roman" w:cs="Times New Roman"/>
          <w:color w:val="000000"/>
          <w:sz w:val="24"/>
          <w:szCs w:val="24"/>
        </w:rPr>
        <w:t>-fenotipos humanos, en el marco del movimiento de la materialidad social</w:t>
      </w:r>
      <w:proofErr w:type="gramStart"/>
      <w:r w:rsidRPr="006F14E7">
        <w:rPr>
          <w:rFonts w:ascii="Times New Roman" w:eastAsia="MS PGothic" w:hAnsi="Times New Roman" w:cs="Times New Roman"/>
          <w:color w:val="000000"/>
          <w:sz w:val="24"/>
          <w:szCs w:val="24"/>
        </w:rPr>
        <w:t>”</w:t>
      </w:r>
      <w:r w:rsidRPr="006F14E7">
        <w:rPr>
          <w:rFonts w:ascii="Times New Roman" w:eastAsia="MS PGothic" w:hAnsi="Times New Roman" w:cs="Times New Roman"/>
          <w:color w:val="000000"/>
          <w:sz w:val="24"/>
          <w:szCs w:val="24"/>
          <w:vertAlign w:val="superscript"/>
        </w:rPr>
        <w:t>(</w:t>
      </w:r>
      <w:proofErr w:type="gramEnd"/>
      <w:r w:rsidR="00784E26" w:rsidRPr="006F14E7">
        <w:rPr>
          <w:rFonts w:ascii="Times New Roman" w:eastAsia="MS PGothic" w:hAnsi="Times New Roman" w:cs="Times New Roman"/>
          <w:color w:val="000000"/>
          <w:sz w:val="24"/>
          <w:szCs w:val="24"/>
          <w:vertAlign w:val="superscript"/>
        </w:rPr>
        <w:t>4</w:t>
      </w:r>
      <w:r w:rsidR="00F84CC7" w:rsidRPr="006F14E7">
        <w:rPr>
          <w:rFonts w:ascii="Times New Roman" w:eastAsia="MS PGothic" w:hAnsi="Times New Roman" w:cs="Times New Roman"/>
          <w:color w:val="000000"/>
          <w:sz w:val="24"/>
          <w:szCs w:val="24"/>
          <w:vertAlign w:val="superscript"/>
        </w:rPr>
        <w:t>8</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w:t>
      </w:r>
    </w:p>
    <w:p w14:paraId="4182FD5C" w14:textId="77777777"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593E9A0C" w14:textId="53C976FE"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r w:rsidRPr="006F14E7">
        <w:rPr>
          <w:rFonts w:ascii="Times New Roman" w:eastAsia="MS PGothic" w:hAnsi="Times New Roman" w:cs="Times New Roman"/>
          <w:color w:val="000000"/>
          <w:sz w:val="24"/>
          <w:szCs w:val="24"/>
        </w:rPr>
        <w:t xml:space="preserve">Paralelamente, con base a la propuesta teórica de Bourdieu (1998), la proporción de recursos o capitales (políticos, económicos y culturales) de los que esté provisto un agente o grupo social, entendidos como saberes, habilidades y recursos materiales, son los que determinan las disposiciones y la posibilidad de desarrollar prácticas que constituyen la existencia en torno a la experiencia en la multiplicidad de los contextos a los que estén </w:t>
      </w:r>
      <w:r w:rsidRPr="006F14E7">
        <w:rPr>
          <w:rFonts w:ascii="Times New Roman" w:eastAsia="MS PGothic" w:hAnsi="Times New Roman" w:cs="Times New Roman"/>
          <w:color w:val="000000"/>
          <w:sz w:val="24"/>
          <w:szCs w:val="24"/>
        </w:rPr>
        <w:lastRenderedPageBreak/>
        <w:t xml:space="preserve">sujetos los actores sociales. Es decir, a partir de dichos elementos y mecanismos es que se constituye la concepción del </w:t>
      </w:r>
      <w:proofErr w:type="spellStart"/>
      <w:r w:rsidRPr="006F14E7">
        <w:rPr>
          <w:rFonts w:ascii="Times New Roman" w:eastAsia="MS PGothic" w:hAnsi="Times New Roman" w:cs="Times New Roman"/>
          <w:color w:val="000000"/>
          <w:sz w:val="24"/>
          <w:szCs w:val="24"/>
        </w:rPr>
        <w:t>habitus</w:t>
      </w:r>
      <w:proofErr w:type="spellEnd"/>
      <w:r w:rsidRPr="006F14E7">
        <w:rPr>
          <w:rFonts w:ascii="Times New Roman" w:eastAsia="MS PGothic" w:hAnsi="Times New Roman" w:cs="Times New Roman"/>
          <w:color w:val="000000"/>
          <w:sz w:val="24"/>
          <w:szCs w:val="24"/>
        </w:rPr>
        <w:t xml:space="preserve">, expresado como “un sistema de disposiciones durables y transferibles -estructuras estructuradas predispuestas a funcionar como estructuras </w:t>
      </w:r>
      <w:proofErr w:type="spellStart"/>
      <w:r w:rsidRPr="006F14E7">
        <w:rPr>
          <w:rFonts w:ascii="Times New Roman" w:eastAsia="MS PGothic" w:hAnsi="Times New Roman" w:cs="Times New Roman"/>
          <w:color w:val="000000"/>
          <w:sz w:val="24"/>
          <w:szCs w:val="24"/>
        </w:rPr>
        <w:t>estructurantes</w:t>
      </w:r>
      <w:proofErr w:type="spellEnd"/>
      <w:r w:rsidRPr="006F14E7">
        <w:rPr>
          <w:rFonts w:ascii="Times New Roman" w:eastAsia="MS PGothic" w:hAnsi="Times New Roman" w:cs="Times New Roman"/>
          <w:color w:val="000000"/>
          <w:sz w:val="24"/>
          <w:szCs w:val="24"/>
        </w:rPr>
        <w:t xml:space="preserve">- que integran todas las experiencias pasadas y funciona en cada momento como matriz </w:t>
      </w:r>
      <w:proofErr w:type="spellStart"/>
      <w:r w:rsidRPr="006F14E7">
        <w:rPr>
          <w:rFonts w:ascii="Times New Roman" w:eastAsia="MS PGothic" w:hAnsi="Times New Roman" w:cs="Times New Roman"/>
          <w:color w:val="000000"/>
          <w:sz w:val="24"/>
          <w:szCs w:val="24"/>
        </w:rPr>
        <w:t>estructurante</w:t>
      </w:r>
      <w:proofErr w:type="spellEnd"/>
      <w:r w:rsidRPr="006F14E7">
        <w:rPr>
          <w:rFonts w:ascii="Times New Roman" w:eastAsia="MS PGothic" w:hAnsi="Times New Roman" w:cs="Times New Roman"/>
          <w:color w:val="000000"/>
          <w:sz w:val="24"/>
          <w:szCs w:val="24"/>
        </w:rPr>
        <w:t xml:space="preserve"> de las percepciones, las apreciaciones y las acciones de los agentes” </w:t>
      </w:r>
      <w:r w:rsidRPr="006F14E7">
        <w:rPr>
          <w:rFonts w:ascii="Times New Roman" w:eastAsia="MS PGothic" w:hAnsi="Times New Roman" w:cs="Times New Roman"/>
          <w:color w:val="000000"/>
          <w:sz w:val="24"/>
          <w:szCs w:val="24"/>
          <w:vertAlign w:val="superscript"/>
        </w:rPr>
        <w:t>(</w:t>
      </w:r>
      <w:r w:rsidR="00F84CC7" w:rsidRPr="006F14E7">
        <w:rPr>
          <w:rFonts w:ascii="Times New Roman" w:eastAsia="MS PGothic" w:hAnsi="Times New Roman" w:cs="Times New Roman"/>
          <w:color w:val="000000"/>
          <w:sz w:val="24"/>
          <w:szCs w:val="24"/>
          <w:vertAlign w:val="superscript"/>
        </w:rPr>
        <w:t>49</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Así mismo, a través de la interacción social y el intercambio de capitales, “las prácticas que engendran los distintos </w:t>
      </w:r>
      <w:proofErr w:type="spellStart"/>
      <w:r w:rsidRPr="006F14E7">
        <w:rPr>
          <w:rFonts w:ascii="Times New Roman" w:eastAsia="MS PGothic" w:hAnsi="Times New Roman" w:cs="Times New Roman"/>
          <w:color w:val="000000"/>
          <w:sz w:val="24"/>
          <w:szCs w:val="24"/>
        </w:rPr>
        <w:t>habitus</w:t>
      </w:r>
      <w:proofErr w:type="spellEnd"/>
      <w:r w:rsidRPr="006F14E7">
        <w:rPr>
          <w:rFonts w:ascii="Times New Roman" w:eastAsia="MS PGothic" w:hAnsi="Times New Roman" w:cs="Times New Roman"/>
          <w:color w:val="000000"/>
          <w:sz w:val="24"/>
          <w:szCs w:val="24"/>
        </w:rPr>
        <w:t xml:space="preserve"> se presentan como unas configuraciones sistemáticas de propiedades que expresan las diferencias objetivamente inscritas en las condiciones de existencia</w:t>
      </w:r>
      <w:proofErr w:type="gramStart"/>
      <w:r w:rsidRPr="006F14E7">
        <w:rPr>
          <w:rFonts w:ascii="Times New Roman" w:eastAsia="MS PGothic" w:hAnsi="Times New Roman" w:cs="Times New Roman"/>
          <w:color w:val="000000"/>
          <w:sz w:val="24"/>
          <w:szCs w:val="24"/>
        </w:rPr>
        <w:t>”</w:t>
      </w:r>
      <w:r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49</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w:t>
      </w:r>
    </w:p>
    <w:p w14:paraId="51A8A037" w14:textId="77777777" w:rsidR="006B38C9" w:rsidRPr="006F14E7" w:rsidRDefault="006B38C9" w:rsidP="009E3B50">
      <w:pPr>
        <w:autoSpaceDE w:val="0"/>
        <w:autoSpaceDN w:val="0"/>
        <w:adjustRightInd w:val="0"/>
        <w:spacing w:after="0" w:line="240" w:lineRule="auto"/>
        <w:jc w:val="both"/>
        <w:rPr>
          <w:rFonts w:ascii="Times New Roman" w:hAnsi="Times New Roman" w:cs="Times New Roman"/>
          <w:i/>
          <w:sz w:val="24"/>
          <w:szCs w:val="24"/>
        </w:rPr>
      </w:pPr>
    </w:p>
    <w:p w14:paraId="4D17405C" w14:textId="1EBC827D" w:rsidR="006B38C9" w:rsidRPr="006F14E7" w:rsidRDefault="006B38C9" w:rsidP="009E3B50">
      <w:pPr>
        <w:autoSpaceDE w:val="0"/>
        <w:autoSpaceDN w:val="0"/>
        <w:adjustRightInd w:val="0"/>
        <w:spacing w:after="0" w:line="240" w:lineRule="auto"/>
        <w:jc w:val="both"/>
        <w:rPr>
          <w:rFonts w:ascii="Times New Roman" w:hAnsi="Times New Roman" w:cs="Times New Roman"/>
          <w:i/>
          <w:sz w:val="24"/>
          <w:szCs w:val="24"/>
        </w:rPr>
      </w:pPr>
      <w:r w:rsidRPr="006F14E7">
        <w:rPr>
          <w:rFonts w:ascii="Times New Roman" w:eastAsia="MS PGothic" w:hAnsi="Times New Roman" w:cs="Times New Roman"/>
          <w:color w:val="000000"/>
          <w:sz w:val="24"/>
          <w:szCs w:val="24"/>
        </w:rPr>
        <w:t xml:space="preserve">A partir de ello,  la coincidencia entre la  distribución diferencial de los capitales, y  la posición de los agentes o grupos sociales en la estructura social,  aparece como elemento distintivo que permiten ilustrar el panorama explicativo de la desigualdad social, ya que dichas “características distintivas asociadas con la posición correspondiente en el espacio de los estilos de vida, (…) llega a ser una relación inteligible gracias a la construcción del </w:t>
      </w:r>
      <w:proofErr w:type="spellStart"/>
      <w:r w:rsidRPr="006F14E7">
        <w:rPr>
          <w:rFonts w:ascii="Times New Roman" w:eastAsia="MS PGothic" w:hAnsi="Times New Roman" w:cs="Times New Roman"/>
          <w:color w:val="000000"/>
          <w:sz w:val="24"/>
          <w:szCs w:val="24"/>
        </w:rPr>
        <w:t>habitus</w:t>
      </w:r>
      <w:proofErr w:type="spellEnd"/>
      <w:r w:rsidRPr="006F14E7">
        <w:rPr>
          <w:rFonts w:ascii="Times New Roman" w:eastAsia="MS PGothic" w:hAnsi="Times New Roman" w:cs="Times New Roman"/>
          <w:color w:val="000000"/>
          <w:sz w:val="24"/>
          <w:szCs w:val="24"/>
        </w:rPr>
        <w:t xml:space="preserve"> como fórmula generadora que permite justificar simultáneamente las prácticas”</w:t>
      </w:r>
      <w:r w:rsidRPr="006F14E7">
        <w:rPr>
          <w:rFonts w:ascii="Times New Roman" w:eastAsia="MS PGothic" w:hAnsi="Times New Roman" w:cs="Times New Roman"/>
          <w:color w:val="000000"/>
          <w:sz w:val="24"/>
          <w:szCs w:val="24"/>
          <w:vertAlign w:val="superscript"/>
        </w:rPr>
        <w:t>(</w:t>
      </w:r>
      <w:r w:rsidR="00F84CC7" w:rsidRPr="006F14E7">
        <w:rPr>
          <w:rFonts w:ascii="Times New Roman" w:eastAsia="MS PGothic" w:hAnsi="Times New Roman" w:cs="Times New Roman"/>
          <w:color w:val="000000"/>
          <w:sz w:val="24"/>
          <w:szCs w:val="24"/>
          <w:vertAlign w:val="superscript"/>
        </w:rPr>
        <w:t>49</w:t>
      </w:r>
      <w:r w:rsidRPr="006F14E7">
        <w:rPr>
          <w:rFonts w:ascii="Times New Roman" w:hAnsi="Times New Roman" w:cs="Times New Roman"/>
          <w:i/>
          <w:sz w:val="24"/>
          <w:szCs w:val="24"/>
          <w:vertAlign w:val="superscript"/>
        </w:rPr>
        <w:t>)</w:t>
      </w:r>
      <w:r w:rsidRPr="006F14E7">
        <w:rPr>
          <w:rFonts w:ascii="Times New Roman" w:hAnsi="Times New Roman" w:cs="Times New Roman"/>
          <w:i/>
          <w:sz w:val="24"/>
          <w:szCs w:val="24"/>
        </w:rPr>
        <w:t>.</w:t>
      </w:r>
    </w:p>
    <w:p w14:paraId="100CF639" w14:textId="77777777"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5C4E924A" w14:textId="6991D34F"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r w:rsidRPr="006F14E7">
        <w:rPr>
          <w:rFonts w:ascii="Times New Roman" w:eastAsia="MS PGothic" w:hAnsi="Times New Roman" w:cs="Times New Roman"/>
          <w:color w:val="000000"/>
          <w:sz w:val="24"/>
          <w:szCs w:val="24"/>
        </w:rPr>
        <w:t xml:space="preserve">Por su parte, la Organización de las Naciones Unidas para </w:t>
      </w:r>
      <w:r w:rsidRPr="006F14E7">
        <w:rPr>
          <w:rFonts w:ascii="Times New Roman" w:eastAsia="MS PGothic" w:hAnsi="Times New Roman" w:cs="Times New Roman"/>
          <w:b/>
          <w:bCs/>
          <w:color w:val="000000"/>
          <w:sz w:val="24"/>
          <w:szCs w:val="24"/>
        </w:rPr>
        <w:t>la Educación</w:t>
      </w:r>
      <w:r w:rsidRPr="006F14E7">
        <w:rPr>
          <w:rFonts w:ascii="Times New Roman" w:eastAsia="MS PGothic" w:hAnsi="Times New Roman" w:cs="Times New Roman"/>
          <w:color w:val="000000"/>
          <w:sz w:val="24"/>
          <w:szCs w:val="24"/>
        </w:rPr>
        <w:t xml:space="preserve">, la Ciencia y la Cultura, abreviada internacionalmente como UNESCO </w:t>
      </w:r>
      <w:r w:rsidRPr="006F14E7">
        <w:rPr>
          <w:rFonts w:ascii="Times New Roman" w:eastAsia="MS PGothic" w:hAnsi="Times New Roman" w:cs="Times New Roman"/>
          <w:color w:val="000000"/>
          <w:sz w:val="24"/>
          <w:szCs w:val="24"/>
          <w:vertAlign w:val="superscript"/>
        </w:rPr>
        <w:t>(</w:t>
      </w:r>
      <w:r w:rsidR="00F84CC7" w:rsidRPr="006F14E7">
        <w:rPr>
          <w:rFonts w:ascii="Times New Roman" w:eastAsia="MS PGothic" w:hAnsi="Times New Roman" w:cs="Times New Roman"/>
          <w:color w:val="000000"/>
          <w:sz w:val="24"/>
          <w:szCs w:val="24"/>
          <w:vertAlign w:val="superscript"/>
        </w:rPr>
        <w:t>50</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considera que en </w:t>
      </w:r>
      <w:r w:rsidRPr="006F14E7">
        <w:rPr>
          <w:rFonts w:ascii="Times New Roman" w:eastAsia="MS PGothic" w:hAnsi="Times New Roman" w:cs="Times New Roman"/>
          <w:b/>
          <w:bCs/>
          <w:color w:val="000000"/>
          <w:sz w:val="24"/>
          <w:szCs w:val="24"/>
        </w:rPr>
        <w:t>la educación</w:t>
      </w:r>
      <w:r w:rsidRPr="006F14E7">
        <w:rPr>
          <w:rFonts w:ascii="Times New Roman" w:eastAsia="MS PGothic" w:hAnsi="Times New Roman" w:cs="Times New Roman"/>
          <w:color w:val="000000"/>
          <w:sz w:val="24"/>
          <w:szCs w:val="24"/>
        </w:rPr>
        <w:t xml:space="preserve"> no solo se cimenta la salud, sino también el bienestar, ya sea a partir de conocimientos para desarrollar prácticas de </w:t>
      </w:r>
      <w:r w:rsidRPr="006F14E7">
        <w:rPr>
          <w:rFonts w:ascii="Times New Roman" w:eastAsia="MS PGothic" w:hAnsi="Times New Roman" w:cs="Times New Roman"/>
          <w:b/>
          <w:bCs/>
          <w:color w:val="000000"/>
          <w:sz w:val="24"/>
          <w:szCs w:val="24"/>
        </w:rPr>
        <w:t>autocuidado</w:t>
      </w:r>
      <w:r w:rsidRPr="006F14E7">
        <w:rPr>
          <w:rFonts w:ascii="Times New Roman" w:eastAsia="MS PGothic" w:hAnsi="Times New Roman" w:cs="Times New Roman"/>
          <w:color w:val="000000"/>
          <w:sz w:val="24"/>
          <w:szCs w:val="24"/>
        </w:rPr>
        <w:t xml:space="preserve">, así como para el cuidado de los otros, como es el caso del vínculo entre la escolaridad de los padres y la mortalidad infantil. Del mismo modo, Cardozo (2005) señala que a través de la escolaridad se adquieren habilidades, destrezas, entrenamiento y además certificación de los </w:t>
      </w:r>
      <w:proofErr w:type="gramStart"/>
      <w:r w:rsidRPr="006F14E7">
        <w:rPr>
          <w:rFonts w:ascii="Times New Roman" w:eastAsia="MS PGothic" w:hAnsi="Times New Roman" w:cs="Times New Roman"/>
          <w:color w:val="000000"/>
          <w:sz w:val="24"/>
          <w:szCs w:val="24"/>
        </w:rPr>
        <w:t>saberes</w:t>
      </w:r>
      <w:r w:rsidR="00F84CC7"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51</w:t>
      </w:r>
      <w:r w:rsidR="007E57C6"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En este sentido, la educación otorga dichas cualidades para competir en el </w:t>
      </w:r>
      <w:r w:rsidRPr="006F14E7">
        <w:rPr>
          <w:rFonts w:ascii="Times New Roman" w:eastAsia="MS PGothic" w:hAnsi="Times New Roman" w:cs="Times New Roman"/>
          <w:b/>
          <w:bCs/>
          <w:color w:val="000000"/>
          <w:sz w:val="24"/>
          <w:szCs w:val="24"/>
        </w:rPr>
        <w:t>ámbito laboral</w:t>
      </w:r>
      <w:r w:rsidRPr="006F14E7">
        <w:rPr>
          <w:rFonts w:ascii="Times New Roman" w:eastAsia="MS PGothic" w:hAnsi="Times New Roman" w:cs="Times New Roman"/>
          <w:color w:val="000000"/>
          <w:sz w:val="24"/>
          <w:szCs w:val="24"/>
        </w:rPr>
        <w:t xml:space="preserve"> y salarial. No obstante, “la pronunciada desigualdad en los niveles de escolaridad y el creciente rendimiento de la educación son factores que contribuyen a que las diferencias de nivel de instrucción sean la principal causa de la desigualdad </w:t>
      </w:r>
      <w:r w:rsidRPr="006F14E7">
        <w:rPr>
          <w:rFonts w:ascii="Times New Roman" w:eastAsia="MS PGothic" w:hAnsi="Times New Roman" w:cs="Times New Roman"/>
          <w:b/>
          <w:bCs/>
          <w:color w:val="000000"/>
          <w:sz w:val="24"/>
          <w:szCs w:val="24"/>
        </w:rPr>
        <w:t xml:space="preserve">salarial </w:t>
      </w:r>
      <w:r w:rsidRPr="006F14E7">
        <w:rPr>
          <w:rFonts w:ascii="Times New Roman" w:eastAsia="MS PGothic" w:hAnsi="Times New Roman" w:cs="Times New Roman"/>
          <w:color w:val="000000"/>
          <w:sz w:val="24"/>
          <w:szCs w:val="24"/>
        </w:rPr>
        <w:t>en América Latina</w:t>
      </w:r>
      <w:proofErr w:type="gramStart"/>
      <w:r w:rsidRPr="006F14E7">
        <w:rPr>
          <w:rFonts w:ascii="Times New Roman" w:eastAsia="MS PGothic" w:hAnsi="Times New Roman" w:cs="Times New Roman"/>
          <w:color w:val="000000"/>
          <w:sz w:val="24"/>
          <w:szCs w:val="24"/>
        </w:rPr>
        <w:t>”</w:t>
      </w:r>
      <w:r w:rsidRPr="006F14E7">
        <w:rPr>
          <w:rFonts w:ascii="Times New Roman" w:eastAsia="MS PGothic" w:hAnsi="Times New Roman" w:cs="Times New Roman"/>
          <w:color w:val="000000"/>
          <w:sz w:val="24"/>
          <w:szCs w:val="24"/>
          <w:vertAlign w:val="superscript"/>
        </w:rPr>
        <w:t>(</w:t>
      </w:r>
      <w:proofErr w:type="gramEnd"/>
      <w:r w:rsidR="00784E26" w:rsidRPr="006F14E7">
        <w:rPr>
          <w:rFonts w:ascii="Times New Roman" w:eastAsia="MS PGothic" w:hAnsi="Times New Roman" w:cs="Times New Roman"/>
          <w:color w:val="000000"/>
          <w:sz w:val="24"/>
          <w:szCs w:val="24"/>
          <w:vertAlign w:val="superscript"/>
        </w:rPr>
        <w:t>5</w:t>
      </w:r>
      <w:r w:rsidR="00F84CC7" w:rsidRPr="006F14E7">
        <w:rPr>
          <w:rFonts w:ascii="Times New Roman" w:eastAsia="MS PGothic" w:hAnsi="Times New Roman" w:cs="Times New Roman"/>
          <w:color w:val="000000"/>
          <w:sz w:val="24"/>
          <w:szCs w:val="24"/>
          <w:vertAlign w:val="superscript"/>
        </w:rPr>
        <w:t>1</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w:t>
      </w:r>
    </w:p>
    <w:p w14:paraId="4D4F19D1" w14:textId="77777777"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6E9E4735" w14:textId="6CAE548A"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De acuerdo con el planteamiento señalado, la población mexicana aumentó su escolaridad de 4.6 años hasta 9.5 años entre 1980 y 2018. Sin embargo, para este último año, las entidades más desfavorecidas como Chiapas y Oaxaca registraron una escolaridad, muy similar a la media nacional en el año 2000. De hecho, si se considera qué aproximadamente la población mexicana tuvo un año de ganancia en materia de escolaridad por cada década entre 1980 y 2018, para que estos dos estados alcancen los años de escolaridad de Nuevo León y CDMX, deben pasar aproximadamente 30 años. Así mismo, con base a una equivalencia entre pesos viejos y nuevos, se determinó que el salario mínimo otorgado en 1980 y 2018 tuvo una pérdida del 66.5%. Sin embargo, el impacto negativo no se observó de manera homogénea en las entidades del país. Para 2018 estados como Chiapas, Guerrero y Oaxaca registraron una proporción de pobres mayor al 90%, es decir, 40% mayor a la de Nuevo León, entidad con menos proporción de pobreza (55%)</w:t>
      </w:r>
      <w:r w:rsidR="00F84CC7" w:rsidRPr="006F14E7">
        <w:rPr>
          <w:rFonts w:ascii="Times New Roman" w:hAnsi="Times New Roman" w:cs="Times New Roman"/>
          <w:sz w:val="24"/>
          <w:szCs w:val="24"/>
          <w:vertAlign w:val="superscript"/>
        </w:rPr>
        <w:t>(20</w:t>
      </w:r>
      <w:r w:rsidR="00950495"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De hecho, se pudo observar que las entidades con mayor rezago educativo coincidieron con las entidades con mayor proporción de pobreza.</w:t>
      </w:r>
    </w:p>
    <w:p w14:paraId="37C9AD5D" w14:textId="77777777"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1900546A" w14:textId="2F4292BE"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lastRenderedPageBreak/>
        <w:t xml:space="preserve">Por otra parte, durante el mismo periodo (1983 - 2018), la población con carencias por acceso a servicios básicos de vivienda disminuyó del 49% al 19%. No obstante, este tipo de carencia en 2018 fue el que reflejó el mayor contraste entre las entidades pobres y ricas. Para el estado de Guerrero, Oaxaca y Chiapas fue aproximadamente 24 veces mayor que el estado más próspero, Nuevo León </w:t>
      </w:r>
      <w:r w:rsidR="0053740A" w:rsidRPr="006F14E7">
        <w:rPr>
          <w:rFonts w:ascii="Times New Roman" w:hAnsi="Times New Roman" w:cs="Times New Roman"/>
          <w:sz w:val="24"/>
          <w:szCs w:val="24"/>
          <w:vertAlign w:val="superscript"/>
        </w:rPr>
        <w:t>(</w:t>
      </w:r>
      <w:r w:rsidR="00F84CC7" w:rsidRPr="006F14E7">
        <w:rPr>
          <w:rFonts w:ascii="Times New Roman" w:hAnsi="Times New Roman" w:cs="Times New Roman"/>
          <w:sz w:val="24"/>
          <w:szCs w:val="24"/>
          <w:vertAlign w:val="superscript"/>
        </w:rPr>
        <w:t>20</w:t>
      </w:r>
      <w:r w:rsidR="0053740A"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Al respecto</w:t>
      </w:r>
      <w:r w:rsidRPr="006F14E7">
        <w:rPr>
          <w:rFonts w:ascii="Times New Roman" w:eastAsia="MS PGothic" w:hAnsi="Times New Roman" w:cs="Times New Roman"/>
          <w:color w:val="000000"/>
          <w:sz w:val="24"/>
          <w:szCs w:val="24"/>
        </w:rPr>
        <w:t xml:space="preserve"> la Organización Panamericana de la Salud</w:t>
      </w:r>
      <w:r w:rsidR="00950495" w:rsidRPr="006F14E7">
        <w:rPr>
          <w:rFonts w:ascii="Times New Roman" w:eastAsia="MS PGothic" w:hAnsi="Times New Roman" w:cs="Times New Roman"/>
          <w:color w:val="000000"/>
          <w:sz w:val="24"/>
          <w:szCs w:val="24"/>
          <w:vertAlign w:val="superscript"/>
        </w:rPr>
        <w:t xml:space="preserve"> </w:t>
      </w:r>
      <w:r w:rsidRPr="006F14E7">
        <w:rPr>
          <w:rFonts w:ascii="Times New Roman" w:eastAsia="MS PGothic" w:hAnsi="Times New Roman" w:cs="Times New Roman"/>
          <w:color w:val="000000"/>
          <w:sz w:val="24"/>
          <w:szCs w:val="24"/>
        </w:rPr>
        <w:t xml:space="preserve">señaló que las condiciones generales de </w:t>
      </w:r>
      <w:r w:rsidRPr="006F14E7">
        <w:rPr>
          <w:rFonts w:ascii="Times New Roman" w:eastAsia="MS PGothic" w:hAnsi="Times New Roman" w:cs="Times New Roman"/>
          <w:b/>
          <w:bCs/>
          <w:color w:val="000000"/>
          <w:sz w:val="24"/>
          <w:szCs w:val="24"/>
        </w:rPr>
        <w:t>vivienda,</w:t>
      </w:r>
      <w:r w:rsidRPr="006F14E7">
        <w:rPr>
          <w:rFonts w:ascii="Times New Roman" w:eastAsia="MS PGothic" w:hAnsi="Times New Roman" w:cs="Times New Roman"/>
          <w:color w:val="000000"/>
          <w:sz w:val="24"/>
          <w:szCs w:val="24"/>
        </w:rPr>
        <w:t xml:space="preserve"> incluyendo los servicios básicos, representan una de las principales formas de determinación social de la </w:t>
      </w:r>
      <w:proofErr w:type="gramStart"/>
      <w:r w:rsidRPr="006F14E7">
        <w:rPr>
          <w:rFonts w:ascii="Times New Roman" w:eastAsia="MS PGothic" w:hAnsi="Times New Roman" w:cs="Times New Roman"/>
          <w:color w:val="000000"/>
          <w:sz w:val="24"/>
          <w:szCs w:val="24"/>
        </w:rPr>
        <w:t>salud</w:t>
      </w:r>
      <w:r w:rsidR="00F84CC7"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52</w:t>
      </w:r>
      <w:r w:rsidR="007E57C6"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Así mismo, agrega que una vivienda saludable debe carecer o mantener factores de riesgo controlados, además de poseer condiciones fundamentales, como ubicación segura, estructura adecuada, espacios eficientes y servicios básicos y de buena calidad, así como muebles, utensilios domésticos, y bienes de </w:t>
      </w:r>
      <w:proofErr w:type="gramStart"/>
      <w:r w:rsidRPr="006F14E7">
        <w:rPr>
          <w:rFonts w:ascii="Times New Roman" w:eastAsia="MS PGothic" w:hAnsi="Times New Roman" w:cs="Times New Roman"/>
          <w:color w:val="000000"/>
          <w:sz w:val="24"/>
          <w:szCs w:val="24"/>
        </w:rPr>
        <w:t>consumo seguros y eficientes</w:t>
      </w:r>
      <w:proofErr w:type="gramEnd"/>
      <w:r w:rsidRPr="006F14E7">
        <w:rPr>
          <w:rFonts w:ascii="Times New Roman" w:eastAsia="MS PGothic" w:hAnsi="Times New Roman" w:cs="Times New Roman"/>
          <w:color w:val="000000"/>
          <w:sz w:val="24"/>
          <w:szCs w:val="24"/>
        </w:rPr>
        <w:t xml:space="preserve">. En suma, una vivienda adecuada consiste en la durabilidad de su estructura, iluminación, calefacción y ventilación suficiente, incluyendo los servicios de abastecimiento de agua, saneamiento y eliminación de desechos, </w:t>
      </w:r>
      <w:proofErr w:type="gramStart"/>
      <w:r w:rsidRPr="006F14E7">
        <w:rPr>
          <w:rFonts w:ascii="Times New Roman" w:eastAsia="MS PGothic" w:hAnsi="Times New Roman" w:cs="Times New Roman"/>
          <w:color w:val="000000"/>
          <w:sz w:val="24"/>
          <w:szCs w:val="24"/>
        </w:rPr>
        <w:t>principalmente</w:t>
      </w:r>
      <w:r w:rsidR="00F84CC7"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52</w:t>
      </w:r>
      <w:r w:rsidR="007E57C6"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w:t>
      </w:r>
    </w:p>
    <w:p w14:paraId="3CB328AC" w14:textId="77777777" w:rsidR="006B38C9" w:rsidRPr="006F14E7" w:rsidRDefault="006B38C9" w:rsidP="009E3B50">
      <w:pPr>
        <w:autoSpaceDE w:val="0"/>
        <w:autoSpaceDN w:val="0"/>
        <w:adjustRightInd w:val="0"/>
        <w:spacing w:after="0" w:line="240" w:lineRule="auto"/>
        <w:jc w:val="both"/>
        <w:rPr>
          <w:rFonts w:ascii="Times New Roman" w:eastAsia="MS PGothic" w:hAnsi="Times New Roman" w:cs="Times New Roman"/>
          <w:color w:val="000000"/>
          <w:sz w:val="24"/>
          <w:szCs w:val="24"/>
        </w:rPr>
      </w:pPr>
    </w:p>
    <w:p w14:paraId="402C10DF" w14:textId="24C4850E" w:rsidR="006B38C9" w:rsidRPr="006F14E7" w:rsidRDefault="006B38C9" w:rsidP="009E3B50">
      <w:pPr>
        <w:autoSpaceDE w:val="0"/>
        <w:autoSpaceDN w:val="0"/>
        <w:adjustRightInd w:val="0"/>
        <w:spacing w:after="0" w:line="240" w:lineRule="auto"/>
        <w:jc w:val="both"/>
        <w:rPr>
          <w:rFonts w:ascii="Times New Roman" w:hAnsi="Times New Roman" w:cs="Times New Roman"/>
          <w:sz w:val="24"/>
          <w:szCs w:val="24"/>
        </w:rPr>
      </w:pPr>
      <w:r w:rsidRPr="006F14E7">
        <w:rPr>
          <w:rFonts w:ascii="Times New Roman" w:eastAsia="MS PGothic" w:hAnsi="Times New Roman" w:cs="Times New Roman"/>
          <w:color w:val="000000"/>
          <w:sz w:val="24"/>
          <w:szCs w:val="24"/>
        </w:rPr>
        <w:t>Otro aspecto a señalar, como carencia social íntimamente vinculad</w:t>
      </w:r>
      <w:r w:rsidR="004E7874" w:rsidRPr="006F14E7">
        <w:rPr>
          <w:rFonts w:ascii="Times New Roman" w:eastAsia="MS PGothic" w:hAnsi="Times New Roman" w:cs="Times New Roman"/>
          <w:color w:val="000000"/>
          <w:sz w:val="24"/>
          <w:szCs w:val="24"/>
        </w:rPr>
        <w:t>a</w:t>
      </w:r>
      <w:r w:rsidRPr="006F14E7">
        <w:rPr>
          <w:rFonts w:ascii="Times New Roman" w:eastAsia="MS PGothic" w:hAnsi="Times New Roman" w:cs="Times New Roman"/>
          <w:color w:val="000000"/>
          <w:sz w:val="24"/>
          <w:szCs w:val="24"/>
        </w:rPr>
        <w:t xml:space="preserve"> a la </w:t>
      </w:r>
      <w:r w:rsidR="004E7874" w:rsidRPr="006F14E7">
        <w:rPr>
          <w:rFonts w:ascii="Times New Roman" w:eastAsia="MS PGothic" w:hAnsi="Times New Roman" w:cs="Times New Roman"/>
          <w:color w:val="000000"/>
          <w:sz w:val="24"/>
          <w:szCs w:val="24"/>
        </w:rPr>
        <w:t>de</w:t>
      </w:r>
      <w:r w:rsidRPr="006F14E7">
        <w:rPr>
          <w:rFonts w:ascii="Times New Roman" w:eastAsia="MS PGothic" w:hAnsi="Times New Roman" w:cs="Times New Roman"/>
          <w:color w:val="000000"/>
          <w:sz w:val="24"/>
          <w:szCs w:val="24"/>
        </w:rPr>
        <w:t xml:space="preserve">terminación social de la salud </w:t>
      </w:r>
      <w:r w:rsidR="0053740A" w:rsidRPr="006F14E7">
        <w:rPr>
          <w:rFonts w:ascii="Times New Roman" w:eastAsia="MS PGothic" w:hAnsi="Times New Roman" w:cs="Times New Roman"/>
          <w:color w:val="000000"/>
          <w:sz w:val="24"/>
          <w:szCs w:val="24"/>
        </w:rPr>
        <w:t>es el</w:t>
      </w:r>
      <w:r w:rsidRPr="006F14E7">
        <w:rPr>
          <w:rFonts w:ascii="Times New Roman" w:eastAsia="MS PGothic" w:hAnsi="Times New Roman" w:cs="Times New Roman"/>
          <w:color w:val="000000"/>
          <w:sz w:val="24"/>
          <w:szCs w:val="24"/>
        </w:rPr>
        <w:t xml:space="preserve"> </w:t>
      </w:r>
      <w:r w:rsidR="0053740A" w:rsidRPr="006F14E7">
        <w:rPr>
          <w:rFonts w:ascii="Times New Roman" w:eastAsia="MS PGothic" w:hAnsi="Times New Roman" w:cs="Times New Roman"/>
          <w:color w:val="000000"/>
          <w:sz w:val="24"/>
          <w:szCs w:val="24"/>
        </w:rPr>
        <w:t>acceso y</w:t>
      </w:r>
      <w:r w:rsidRPr="006F14E7">
        <w:rPr>
          <w:rFonts w:ascii="Times New Roman" w:eastAsia="MS PGothic" w:hAnsi="Times New Roman" w:cs="Times New Roman"/>
          <w:color w:val="000000"/>
          <w:sz w:val="24"/>
          <w:szCs w:val="24"/>
        </w:rPr>
        <w:t xml:space="preserve"> cobertura </w:t>
      </w:r>
      <w:r w:rsidR="0053740A" w:rsidRPr="006F14E7">
        <w:rPr>
          <w:rFonts w:ascii="Times New Roman" w:eastAsia="MS PGothic" w:hAnsi="Times New Roman" w:cs="Times New Roman"/>
          <w:color w:val="000000"/>
          <w:sz w:val="24"/>
          <w:szCs w:val="24"/>
        </w:rPr>
        <w:t>a servicios</w:t>
      </w:r>
      <w:r w:rsidRPr="006F14E7">
        <w:rPr>
          <w:rFonts w:ascii="Times New Roman" w:eastAsia="MS PGothic" w:hAnsi="Times New Roman" w:cs="Times New Roman"/>
          <w:color w:val="000000"/>
          <w:sz w:val="24"/>
          <w:szCs w:val="24"/>
        </w:rPr>
        <w:t xml:space="preserve"> médicos, considerados por </w:t>
      </w:r>
      <w:r w:rsidR="0053740A" w:rsidRPr="006F14E7">
        <w:rPr>
          <w:rFonts w:ascii="Times New Roman" w:eastAsia="MS PGothic" w:hAnsi="Times New Roman" w:cs="Times New Roman"/>
          <w:color w:val="000000"/>
          <w:sz w:val="24"/>
          <w:szCs w:val="24"/>
        </w:rPr>
        <w:t>la Organización</w:t>
      </w:r>
      <w:r w:rsidRPr="006F14E7">
        <w:rPr>
          <w:rFonts w:ascii="Times New Roman" w:eastAsia="MS PGothic" w:hAnsi="Times New Roman" w:cs="Times New Roman"/>
          <w:color w:val="000000"/>
          <w:sz w:val="24"/>
          <w:szCs w:val="24"/>
        </w:rPr>
        <w:t xml:space="preserve"> Mundial de la Salud (OMS) como “la capacidad del sistema de salud para responder a las necesidades de la población, lo cual incluye la disponibilidad de infraestructura, recursos humanos, tecnologías de salud (incluyendo medicamentos) y financiamiento</w:t>
      </w:r>
      <w:proofErr w:type="gramStart"/>
      <w:r w:rsidRPr="006F14E7">
        <w:rPr>
          <w:rFonts w:ascii="Times New Roman" w:eastAsia="MS PGothic" w:hAnsi="Times New Roman" w:cs="Times New Roman"/>
          <w:color w:val="000000"/>
          <w:sz w:val="24"/>
          <w:szCs w:val="24"/>
        </w:rPr>
        <w:t>”</w:t>
      </w:r>
      <w:r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42</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xml:space="preserve">. Misma que determina que el efecto negativo que engendra la carencia de acceso universal a servicios de salud, en mayor medida se concentra en las personas que viven en condiciones de mayor vulnerabilidad. Esta situación, además de acentuar la exclusión e inequidad social amplía las brechas en materia de mortalidad y morbilidad materna e infantil entre las poblaciones más pobres y las más </w:t>
      </w:r>
      <w:proofErr w:type="gramStart"/>
      <w:r w:rsidRPr="006F14E7">
        <w:rPr>
          <w:rFonts w:ascii="Times New Roman" w:eastAsia="MS PGothic" w:hAnsi="Times New Roman" w:cs="Times New Roman"/>
          <w:color w:val="000000"/>
          <w:sz w:val="24"/>
          <w:szCs w:val="24"/>
        </w:rPr>
        <w:t>ricas</w:t>
      </w:r>
      <w:r w:rsidR="00F84CC7" w:rsidRPr="006F14E7">
        <w:rPr>
          <w:rFonts w:ascii="Times New Roman" w:eastAsia="MS PGothic" w:hAnsi="Times New Roman" w:cs="Times New Roman"/>
          <w:color w:val="000000"/>
          <w:sz w:val="24"/>
          <w:szCs w:val="24"/>
          <w:vertAlign w:val="superscript"/>
        </w:rPr>
        <w:t>(</w:t>
      </w:r>
      <w:proofErr w:type="gramEnd"/>
      <w:r w:rsidR="00F84CC7" w:rsidRPr="006F14E7">
        <w:rPr>
          <w:rFonts w:ascii="Times New Roman" w:eastAsia="MS PGothic" w:hAnsi="Times New Roman" w:cs="Times New Roman"/>
          <w:color w:val="000000"/>
          <w:sz w:val="24"/>
          <w:szCs w:val="24"/>
          <w:vertAlign w:val="superscript"/>
        </w:rPr>
        <w:t>53</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Aunque en México la</w:t>
      </w:r>
      <w:r w:rsidRPr="006F14E7">
        <w:rPr>
          <w:rFonts w:ascii="Times New Roman" w:hAnsi="Times New Roman" w:cs="Times New Roman"/>
          <w:sz w:val="24"/>
          <w:szCs w:val="24"/>
        </w:rPr>
        <w:t xml:space="preserve"> carencia por acceso a servicios de salud disminuyó del 52% en 1983 al 18.7% el año 2018, la disminución se observó especialmente entre el año 2000 y 2018. Sin embargo, pese al ininterrumpido proceso de afiliación al Seguro de Protección Social en Salud (SPSS), la cobertura de intervenciones s</w:t>
      </w:r>
      <w:r w:rsidR="004E7874" w:rsidRPr="006F14E7">
        <w:rPr>
          <w:rFonts w:ascii="Times New Roman" w:hAnsi="Times New Roman" w:cs="Times New Roman"/>
          <w:sz w:val="24"/>
          <w:szCs w:val="24"/>
        </w:rPr>
        <w:t>o</w:t>
      </w:r>
      <w:r w:rsidRPr="006F14E7">
        <w:rPr>
          <w:rFonts w:ascii="Times New Roman" w:hAnsi="Times New Roman" w:cs="Times New Roman"/>
          <w:sz w:val="24"/>
          <w:szCs w:val="24"/>
        </w:rPr>
        <w:t>lo representó el 20%</w:t>
      </w:r>
      <w:r w:rsidR="00F84CC7" w:rsidRPr="006F14E7">
        <w:rPr>
          <w:rFonts w:ascii="Times New Roman" w:hAnsi="Times New Roman" w:cs="Times New Roman"/>
          <w:sz w:val="24"/>
          <w:szCs w:val="24"/>
          <w:vertAlign w:val="superscript"/>
        </w:rPr>
        <w:t>(37</w:t>
      </w:r>
      <w:r w:rsidR="00950495" w:rsidRPr="006F14E7">
        <w:rPr>
          <w:rFonts w:ascii="Times New Roman" w:hAnsi="Times New Roman" w:cs="Times New Roman"/>
          <w:sz w:val="24"/>
          <w:szCs w:val="24"/>
          <w:vertAlign w:val="superscript"/>
        </w:rPr>
        <w:t>)</w:t>
      </w:r>
      <w:r w:rsidRPr="006F14E7">
        <w:rPr>
          <w:rFonts w:ascii="Times New Roman" w:hAnsi="Times New Roman" w:cs="Times New Roman"/>
          <w:sz w:val="24"/>
          <w:szCs w:val="24"/>
        </w:rPr>
        <w:t xml:space="preserve"> con </w:t>
      </w:r>
      <w:r w:rsidR="004E7874" w:rsidRPr="006F14E7">
        <w:rPr>
          <w:rFonts w:ascii="Times New Roman" w:hAnsi="Times New Roman" w:cs="Times New Roman"/>
          <w:sz w:val="24"/>
          <w:szCs w:val="24"/>
        </w:rPr>
        <w:t xml:space="preserve">relación </w:t>
      </w:r>
      <w:r w:rsidRPr="006F14E7">
        <w:rPr>
          <w:rFonts w:ascii="Times New Roman" w:hAnsi="Times New Roman" w:cs="Times New Roman"/>
          <w:sz w:val="24"/>
          <w:szCs w:val="24"/>
        </w:rPr>
        <w:t xml:space="preserve">a la población afiliada a las instituciones de seguridad social, además de encontrarse desprovista del resto de los componentes que constituyen la seguridad social, por su vínculo laboral. </w:t>
      </w:r>
    </w:p>
    <w:p w14:paraId="258B5C14" w14:textId="77777777" w:rsidR="00411BC8" w:rsidRPr="006F14E7" w:rsidRDefault="00411BC8" w:rsidP="009E3B50">
      <w:pPr>
        <w:autoSpaceDE w:val="0"/>
        <w:autoSpaceDN w:val="0"/>
        <w:adjustRightInd w:val="0"/>
        <w:spacing w:after="0" w:line="240" w:lineRule="auto"/>
        <w:jc w:val="both"/>
        <w:rPr>
          <w:rFonts w:ascii="Times New Roman" w:hAnsi="Times New Roman" w:cs="Times New Roman"/>
          <w:sz w:val="24"/>
          <w:szCs w:val="24"/>
        </w:rPr>
      </w:pPr>
    </w:p>
    <w:p w14:paraId="2EA5CDC2" w14:textId="54BD4727"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En resumen, se pudo observar entonces, qué la desigualdad entre entidades, en materia educativa coincidió con la desigualdad económica, y en materia de carencia de acceso a servicios de vivienda y de salud. Esta  situación tiene lugar en la  propuesta teórica de Pier</w:t>
      </w:r>
      <w:r w:rsidR="004E7874" w:rsidRPr="006F14E7">
        <w:rPr>
          <w:rFonts w:ascii="Times New Roman" w:hAnsi="Times New Roman" w:cs="Times New Roman"/>
          <w:sz w:val="24"/>
          <w:szCs w:val="24"/>
        </w:rPr>
        <w:t>re</w:t>
      </w:r>
      <w:r w:rsidRPr="006F14E7">
        <w:rPr>
          <w:rFonts w:ascii="Times New Roman" w:hAnsi="Times New Roman" w:cs="Times New Roman"/>
          <w:sz w:val="24"/>
          <w:szCs w:val="24"/>
        </w:rPr>
        <w:t xml:space="preserve"> Bourdieu,  a  partir  de la interrelación que existe entre los diversos capitales como es el cultural en forma de escolaridad asociado al capital económico, es decir,  las entidades  con menor capital económico y cultural coincidieron con la carencia de acceso a servicios básicos de vivienda y de salud, entendidos como “</w:t>
      </w:r>
      <w:r w:rsidRPr="006F14E7">
        <w:rPr>
          <w:rFonts w:ascii="Times New Roman" w:eastAsia="MS PGothic" w:hAnsi="Times New Roman" w:cs="Times New Roman"/>
          <w:color w:val="000000"/>
          <w:sz w:val="24"/>
          <w:szCs w:val="24"/>
        </w:rPr>
        <w:t>diferencias objetivamente inscritas en las condiciones de existencia”</w:t>
      </w:r>
      <w:r w:rsidRPr="006F14E7">
        <w:rPr>
          <w:rFonts w:ascii="Times New Roman" w:eastAsia="MS PGothic" w:hAnsi="Times New Roman" w:cs="Times New Roman"/>
          <w:color w:val="000000"/>
          <w:sz w:val="24"/>
          <w:szCs w:val="24"/>
          <w:vertAlign w:val="superscript"/>
        </w:rPr>
        <w:t>(</w:t>
      </w:r>
      <w:r w:rsidR="00F84CC7" w:rsidRPr="006F14E7">
        <w:rPr>
          <w:rFonts w:ascii="Times New Roman" w:eastAsia="MS PGothic" w:hAnsi="Times New Roman" w:cs="Times New Roman"/>
          <w:color w:val="000000"/>
          <w:sz w:val="24"/>
          <w:szCs w:val="24"/>
          <w:vertAlign w:val="superscript"/>
        </w:rPr>
        <w:t>49</w:t>
      </w:r>
      <w:r w:rsidRPr="006F14E7">
        <w:rPr>
          <w:rFonts w:ascii="Times New Roman" w:eastAsia="MS PGothic" w:hAnsi="Times New Roman" w:cs="Times New Roman"/>
          <w:color w:val="000000"/>
          <w:sz w:val="24"/>
          <w:szCs w:val="24"/>
          <w:vertAlign w:val="superscript"/>
        </w:rPr>
        <w:t>)</w:t>
      </w:r>
      <w:r w:rsidRPr="006F14E7">
        <w:rPr>
          <w:rFonts w:ascii="Times New Roman" w:eastAsia="MS PGothic" w:hAnsi="Times New Roman" w:cs="Times New Roman"/>
          <w:color w:val="000000"/>
          <w:sz w:val="24"/>
          <w:szCs w:val="24"/>
        </w:rPr>
        <w:t>, las cuales a su vez,</w:t>
      </w:r>
      <w:r w:rsidRPr="006F14E7">
        <w:rPr>
          <w:rFonts w:ascii="Times New Roman" w:hAnsi="Times New Roman" w:cs="Times New Roman"/>
          <w:sz w:val="24"/>
          <w:szCs w:val="24"/>
        </w:rPr>
        <w:t xml:space="preserve"> permiten configurar un </w:t>
      </w:r>
      <w:proofErr w:type="spellStart"/>
      <w:r w:rsidRPr="006F14E7">
        <w:rPr>
          <w:rFonts w:ascii="Times New Roman" w:hAnsi="Times New Roman" w:cs="Times New Roman"/>
          <w:sz w:val="24"/>
          <w:szCs w:val="24"/>
        </w:rPr>
        <w:t>habitus</w:t>
      </w:r>
      <w:proofErr w:type="spellEnd"/>
      <w:r w:rsidRPr="006F14E7">
        <w:rPr>
          <w:rFonts w:ascii="Times New Roman" w:hAnsi="Times New Roman" w:cs="Times New Roman"/>
          <w:sz w:val="24"/>
          <w:szCs w:val="24"/>
        </w:rPr>
        <w:t xml:space="preserve"> de autocuidado.</w:t>
      </w:r>
    </w:p>
    <w:p w14:paraId="29D34CF7" w14:textId="77777777" w:rsidR="006B38C9" w:rsidRPr="006F14E7" w:rsidRDefault="006B38C9" w:rsidP="009E3B50">
      <w:pPr>
        <w:spacing w:after="0" w:line="240" w:lineRule="auto"/>
        <w:jc w:val="both"/>
        <w:rPr>
          <w:rFonts w:ascii="Times New Roman" w:hAnsi="Times New Roman" w:cs="Times New Roman"/>
          <w:sz w:val="24"/>
          <w:szCs w:val="24"/>
        </w:rPr>
      </w:pPr>
    </w:p>
    <w:p w14:paraId="2A3C7021" w14:textId="3C6346F3" w:rsidR="006B38C9" w:rsidRPr="006F14E7" w:rsidRDefault="006B38C9" w:rsidP="009E3B50">
      <w:pPr>
        <w:spacing w:after="0" w:line="240" w:lineRule="auto"/>
        <w:jc w:val="both"/>
        <w:rPr>
          <w:rFonts w:ascii="Times New Roman" w:hAnsi="Times New Roman" w:cs="Times New Roman"/>
          <w:sz w:val="24"/>
          <w:szCs w:val="24"/>
        </w:rPr>
      </w:pPr>
      <w:r w:rsidRPr="006F14E7">
        <w:rPr>
          <w:rFonts w:ascii="Times New Roman" w:hAnsi="Times New Roman" w:cs="Times New Roman"/>
          <w:sz w:val="24"/>
          <w:szCs w:val="24"/>
        </w:rPr>
        <w:t xml:space="preserve">Finalmente, aunque las diferencias observadas entre las entidades con relación a dichas formas de determinación social no coincidieron con el estado de salud de la población pobre y rica, como se establece desde la perspectiva de la determinación social, si lo </w:t>
      </w:r>
      <w:r w:rsidRPr="006F14E7">
        <w:rPr>
          <w:rFonts w:ascii="Times New Roman" w:hAnsi="Times New Roman" w:cs="Times New Roman"/>
          <w:sz w:val="24"/>
          <w:szCs w:val="24"/>
        </w:rPr>
        <w:lastRenderedPageBreak/>
        <w:t>hicieron en términos de estilos de vida. Por tanto, dicha postura teórica  puede extender su consideración  y tener lugar a partir de la letalidad, teniendo en cuenta que aquellos municipios ricos, aun compartiendo en la misma proporción las comorbilidades vinculadas a las complicaciones por contagio de Covid-19 con los municipios pobres, la diferencia en términos de letalidad entre estados pobres  y ricos, no solo dependió de la diferencia en cuanto al acceso a medios y servicios para llevar a cabo un mejor control de dichas comorbilidades, sea a partir de la diferencia de acceso a servicios de atención médica (incluso privados)</w:t>
      </w:r>
      <w:r w:rsidR="00950495" w:rsidRPr="006F14E7">
        <w:rPr>
          <w:rFonts w:ascii="Times New Roman" w:hAnsi="Times New Roman" w:cs="Times New Roman"/>
          <w:sz w:val="24"/>
          <w:szCs w:val="24"/>
        </w:rPr>
        <w:t>.</w:t>
      </w:r>
      <w:r w:rsidRPr="006F14E7">
        <w:rPr>
          <w:rFonts w:ascii="Times New Roman" w:hAnsi="Times New Roman" w:cs="Times New Roman"/>
          <w:sz w:val="24"/>
          <w:szCs w:val="24"/>
        </w:rPr>
        <w:t xml:space="preserve"> </w:t>
      </w:r>
    </w:p>
    <w:p w14:paraId="7467BC3E" w14:textId="77777777" w:rsidR="0002109E" w:rsidRPr="006F14E7" w:rsidRDefault="0002109E" w:rsidP="009E3B50">
      <w:pPr>
        <w:spacing w:after="0" w:line="240" w:lineRule="auto"/>
        <w:jc w:val="both"/>
        <w:rPr>
          <w:rFonts w:ascii="Times New Roman" w:hAnsi="Times New Roman" w:cs="Times New Roman"/>
          <w:b/>
          <w:bCs/>
          <w:sz w:val="24"/>
          <w:szCs w:val="24"/>
        </w:rPr>
      </w:pPr>
    </w:p>
    <w:p w14:paraId="5FD014B8" w14:textId="4B8E2620" w:rsidR="006B38C9" w:rsidRPr="006F14E7" w:rsidRDefault="006B38C9" w:rsidP="002E456A">
      <w:pPr>
        <w:pStyle w:val="Prrafodelista"/>
        <w:numPr>
          <w:ilvl w:val="0"/>
          <w:numId w:val="24"/>
        </w:numPr>
        <w:spacing w:after="0" w:line="240" w:lineRule="auto"/>
        <w:jc w:val="center"/>
        <w:rPr>
          <w:rFonts w:ascii="Times New Roman" w:hAnsi="Times New Roman" w:cs="Times New Roman"/>
          <w:b/>
          <w:bCs/>
          <w:sz w:val="24"/>
          <w:szCs w:val="24"/>
        </w:rPr>
      </w:pPr>
      <w:r w:rsidRPr="006F14E7">
        <w:rPr>
          <w:rFonts w:ascii="Times New Roman" w:hAnsi="Times New Roman" w:cs="Times New Roman"/>
          <w:b/>
          <w:bCs/>
          <w:sz w:val="24"/>
          <w:szCs w:val="24"/>
        </w:rPr>
        <w:t>CONCLUSIONES</w:t>
      </w:r>
    </w:p>
    <w:p w14:paraId="1B65998E" w14:textId="77777777" w:rsidR="005155AA" w:rsidRPr="006F14E7" w:rsidRDefault="005155AA" w:rsidP="009E3B50">
      <w:pPr>
        <w:spacing w:after="0" w:line="240" w:lineRule="auto"/>
        <w:jc w:val="both"/>
        <w:rPr>
          <w:rFonts w:ascii="Times New Roman" w:hAnsi="Times New Roman" w:cs="Times New Roman"/>
          <w:sz w:val="24"/>
          <w:szCs w:val="24"/>
        </w:rPr>
      </w:pPr>
    </w:p>
    <w:p w14:paraId="08485DE9" w14:textId="18A4F273" w:rsidR="00FE3590" w:rsidRPr="006F14E7" w:rsidRDefault="001F09EE" w:rsidP="009E3B50">
      <w:pPr>
        <w:spacing w:after="0" w:line="240" w:lineRule="auto"/>
        <w:jc w:val="both"/>
        <w:rPr>
          <w:rFonts w:ascii="Times New Roman" w:eastAsia="MS PGothic" w:hAnsi="Times New Roman" w:cs="Times New Roman"/>
          <w:color w:val="000000"/>
          <w:sz w:val="24"/>
          <w:szCs w:val="24"/>
        </w:rPr>
      </w:pPr>
      <w:r w:rsidRPr="006F14E7">
        <w:rPr>
          <w:rFonts w:ascii="Times New Roman" w:hAnsi="Times New Roman" w:cs="Times New Roman"/>
          <w:sz w:val="24"/>
          <w:szCs w:val="24"/>
        </w:rPr>
        <w:t xml:space="preserve">Con base al recorrido </w:t>
      </w:r>
      <w:proofErr w:type="spellStart"/>
      <w:r w:rsidRPr="006F14E7">
        <w:rPr>
          <w:rFonts w:ascii="Times New Roman" w:hAnsi="Times New Roman" w:cs="Times New Roman"/>
          <w:sz w:val="24"/>
          <w:szCs w:val="24"/>
        </w:rPr>
        <w:t>sociohistórico</w:t>
      </w:r>
      <w:proofErr w:type="spellEnd"/>
      <w:r w:rsidRPr="006F14E7">
        <w:rPr>
          <w:rFonts w:ascii="Times New Roman" w:hAnsi="Times New Roman" w:cs="Times New Roman"/>
          <w:sz w:val="24"/>
          <w:szCs w:val="24"/>
        </w:rPr>
        <w:t xml:space="preserve"> s</w:t>
      </w:r>
      <w:r w:rsidR="006B38C9" w:rsidRPr="006F14E7">
        <w:rPr>
          <w:rFonts w:ascii="Times New Roman" w:hAnsi="Times New Roman" w:cs="Times New Roman"/>
          <w:sz w:val="24"/>
          <w:szCs w:val="24"/>
        </w:rPr>
        <w:t>e reconoce que la escolaridad y su impacto en la cualificación y en el poder adquisitivo de la población, así como el acceso a servicios básicos de vivienda y a servicios de salud, constituyeron las principales formas de determinación social, mismas que tuvieron una creciente coincidencia con el bienestar social y los estilos de vida. Así entonces, dichos elementos al haberse distribuido históricamente de forma diferencial fue lo que ampli</w:t>
      </w:r>
      <w:r w:rsidR="004E7874" w:rsidRPr="006F14E7">
        <w:rPr>
          <w:rFonts w:ascii="Times New Roman" w:hAnsi="Times New Roman" w:cs="Times New Roman"/>
          <w:sz w:val="24"/>
          <w:szCs w:val="24"/>
        </w:rPr>
        <w:t>ó</w:t>
      </w:r>
      <w:r w:rsidR="006B38C9" w:rsidRPr="006F14E7">
        <w:rPr>
          <w:rFonts w:ascii="Times New Roman" w:hAnsi="Times New Roman" w:cs="Times New Roman"/>
          <w:sz w:val="24"/>
          <w:szCs w:val="24"/>
        </w:rPr>
        <w:t xml:space="preserve"> las brechas de desigualdad, especialmente en términos de estratos socioeconómicos, lo cual mermó tanto la capacidad como la oportunidad de super</w:t>
      </w:r>
      <w:r w:rsidR="004E7874" w:rsidRPr="006F14E7">
        <w:rPr>
          <w:rFonts w:ascii="Times New Roman" w:hAnsi="Times New Roman" w:cs="Times New Roman"/>
          <w:sz w:val="24"/>
          <w:szCs w:val="24"/>
        </w:rPr>
        <w:t>ar</w:t>
      </w:r>
      <w:r w:rsidR="006B38C9" w:rsidRPr="006F14E7">
        <w:rPr>
          <w:rFonts w:ascii="Times New Roman" w:hAnsi="Times New Roman" w:cs="Times New Roman"/>
          <w:sz w:val="24"/>
          <w:szCs w:val="24"/>
        </w:rPr>
        <w:t xml:space="preserve"> la vulnerabilidad social y la exposición a rie</w:t>
      </w:r>
      <w:r w:rsidR="00656589" w:rsidRPr="006F14E7">
        <w:rPr>
          <w:rFonts w:ascii="Times New Roman" w:hAnsi="Times New Roman" w:cs="Times New Roman"/>
          <w:sz w:val="24"/>
          <w:szCs w:val="24"/>
        </w:rPr>
        <w:t>s</w:t>
      </w:r>
      <w:r w:rsidR="006B38C9" w:rsidRPr="006F14E7">
        <w:rPr>
          <w:rFonts w:ascii="Times New Roman" w:hAnsi="Times New Roman" w:cs="Times New Roman"/>
          <w:sz w:val="24"/>
          <w:szCs w:val="24"/>
        </w:rPr>
        <w:t xml:space="preserve">gos sanitarios, o en su defecto, a un mayor control sobre ellos, pues aunque la prevalencia de enfermedades crónicas fueron observadas indiferentemente entre poblaciones con carencias  y sin carencias  sociales, si se  observaron importantes diferencias en materia de letalidad por contagio de COVID-19, es decir, más que la prevalencia de comorbilidades vinculadas a las complicaciones por contagio del virus, fue la </w:t>
      </w:r>
      <w:r w:rsidR="006B38C9" w:rsidRPr="006F14E7">
        <w:rPr>
          <w:rFonts w:ascii="Times New Roman" w:eastAsia="MS PGothic" w:hAnsi="Times New Roman" w:cs="Times New Roman"/>
          <w:color w:val="000000"/>
          <w:sz w:val="24"/>
          <w:szCs w:val="24"/>
        </w:rPr>
        <w:t>distribución asimétrica de las formas de determinación social lo</w:t>
      </w:r>
      <w:r w:rsidRPr="006F14E7">
        <w:rPr>
          <w:rFonts w:ascii="Times New Roman" w:eastAsia="MS PGothic" w:hAnsi="Times New Roman" w:cs="Times New Roman"/>
          <w:color w:val="000000"/>
          <w:sz w:val="24"/>
          <w:szCs w:val="24"/>
        </w:rPr>
        <w:t xml:space="preserve"> hasta entonces ha</w:t>
      </w:r>
      <w:r w:rsidR="006B38C9" w:rsidRPr="006F14E7">
        <w:rPr>
          <w:rFonts w:ascii="Times New Roman" w:eastAsia="MS PGothic" w:hAnsi="Times New Roman" w:cs="Times New Roman"/>
          <w:color w:val="000000"/>
          <w:sz w:val="24"/>
          <w:szCs w:val="24"/>
        </w:rPr>
        <w:t xml:space="preserve"> configur</w:t>
      </w:r>
      <w:r w:rsidR="00656589" w:rsidRPr="006F14E7">
        <w:rPr>
          <w:rFonts w:ascii="Times New Roman" w:eastAsia="MS PGothic" w:hAnsi="Times New Roman" w:cs="Times New Roman"/>
          <w:color w:val="000000"/>
          <w:sz w:val="24"/>
          <w:szCs w:val="24"/>
        </w:rPr>
        <w:t>ó</w:t>
      </w:r>
      <w:r w:rsidR="006B38C9" w:rsidRPr="006F14E7">
        <w:rPr>
          <w:rFonts w:ascii="Times New Roman" w:eastAsia="MS PGothic" w:hAnsi="Times New Roman" w:cs="Times New Roman"/>
          <w:color w:val="000000"/>
          <w:sz w:val="24"/>
          <w:szCs w:val="24"/>
        </w:rPr>
        <w:t xml:space="preserve"> las brechas de letalidad por contagio de Covid-19</w:t>
      </w:r>
      <w:r w:rsidRPr="006F14E7">
        <w:rPr>
          <w:rFonts w:ascii="Times New Roman" w:eastAsia="MS PGothic" w:hAnsi="Times New Roman" w:cs="Times New Roman"/>
          <w:color w:val="000000"/>
          <w:sz w:val="24"/>
          <w:szCs w:val="24"/>
        </w:rPr>
        <w:t xml:space="preserve"> </w:t>
      </w:r>
      <w:proofErr w:type="spellStart"/>
      <w:r w:rsidRPr="006F14E7">
        <w:rPr>
          <w:rFonts w:ascii="Times New Roman" w:eastAsia="MS PGothic" w:hAnsi="Times New Roman" w:cs="Times New Roman"/>
          <w:color w:val="000000"/>
          <w:sz w:val="24"/>
          <w:szCs w:val="24"/>
        </w:rPr>
        <w:t>em</w:t>
      </w:r>
      <w:proofErr w:type="spellEnd"/>
      <w:r w:rsidRPr="006F14E7">
        <w:rPr>
          <w:rFonts w:ascii="Times New Roman" w:eastAsia="MS PGothic" w:hAnsi="Times New Roman" w:cs="Times New Roman"/>
          <w:color w:val="000000"/>
          <w:sz w:val="24"/>
          <w:szCs w:val="24"/>
        </w:rPr>
        <w:t xml:space="preserve"> México</w:t>
      </w:r>
      <w:r w:rsidR="006B38C9" w:rsidRPr="006F14E7">
        <w:rPr>
          <w:rFonts w:ascii="Times New Roman" w:eastAsia="MS PGothic" w:hAnsi="Times New Roman" w:cs="Times New Roman"/>
          <w:color w:val="000000"/>
          <w:sz w:val="24"/>
          <w:szCs w:val="24"/>
        </w:rPr>
        <w:t>.</w:t>
      </w:r>
    </w:p>
    <w:p w14:paraId="222F91F2" w14:textId="77777777" w:rsidR="00E25E3C" w:rsidRPr="006F14E7" w:rsidRDefault="00E25E3C" w:rsidP="009E3B50">
      <w:pPr>
        <w:spacing w:after="0" w:line="240" w:lineRule="auto"/>
        <w:jc w:val="both"/>
        <w:rPr>
          <w:rFonts w:ascii="Times New Roman" w:eastAsia="MS PGothic" w:hAnsi="Times New Roman" w:cs="Times New Roman"/>
          <w:color w:val="000000"/>
          <w:sz w:val="24"/>
          <w:szCs w:val="24"/>
        </w:rPr>
      </w:pPr>
    </w:p>
    <w:p w14:paraId="15FEABD0" w14:textId="77777777" w:rsidR="00E25E3C" w:rsidRPr="006F14E7" w:rsidRDefault="00E25E3C" w:rsidP="009E3B50">
      <w:pPr>
        <w:spacing w:after="0" w:line="240" w:lineRule="auto"/>
        <w:jc w:val="both"/>
        <w:rPr>
          <w:rFonts w:ascii="Times New Roman" w:eastAsia="MS PGothic" w:hAnsi="Times New Roman" w:cs="Times New Roman"/>
          <w:color w:val="000000"/>
          <w:sz w:val="24"/>
          <w:szCs w:val="24"/>
        </w:rPr>
      </w:pPr>
    </w:p>
    <w:p w14:paraId="6611F532" w14:textId="77777777" w:rsidR="00E25E3C" w:rsidRPr="006F14E7" w:rsidRDefault="00E25E3C" w:rsidP="009E3B50">
      <w:pPr>
        <w:spacing w:after="0" w:line="240" w:lineRule="auto"/>
        <w:jc w:val="both"/>
        <w:rPr>
          <w:rFonts w:ascii="Times New Roman" w:eastAsia="MS PGothic" w:hAnsi="Times New Roman" w:cs="Times New Roman"/>
          <w:color w:val="000000"/>
          <w:sz w:val="24"/>
          <w:szCs w:val="24"/>
        </w:rPr>
      </w:pPr>
    </w:p>
    <w:p w14:paraId="06FD2484" w14:textId="08316635" w:rsidR="00711B6D" w:rsidRPr="006F14E7" w:rsidRDefault="00711B6D" w:rsidP="00711B6D">
      <w:pPr>
        <w:rPr>
          <w:rFonts w:ascii="Times New Roman" w:hAnsi="Times New Roman" w:cs="Times New Roman"/>
          <w:b/>
          <w:sz w:val="28"/>
          <w:szCs w:val="28"/>
        </w:rPr>
      </w:pPr>
      <w:r w:rsidRPr="006F14E7">
        <w:rPr>
          <w:rFonts w:ascii="Times New Roman" w:hAnsi="Times New Roman" w:cs="Times New Roman"/>
          <w:b/>
          <w:sz w:val="28"/>
          <w:szCs w:val="28"/>
        </w:rPr>
        <w:t>REFERENCIAS BIBLIOGRÁFICAS</w:t>
      </w:r>
    </w:p>
    <w:p w14:paraId="386E9772" w14:textId="7518FD22" w:rsidR="00711B6D" w:rsidRPr="003D2268" w:rsidRDefault="00711B6D" w:rsidP="00711B6D">
      <w:pPr>
        <w:rPr>
          <w:rFonts w:ascii="Times New Roman" w:hAnsi="Times New Roman" w:cs="Times New Roman"/>
        </w:rPr>
      </w:pPr>
      <w:r w:rsidRPr="006F14E7">
        <w:rPr>
          <w:rFonts w:ascii="Times New Roman" w:hAnsi="Times New Roman" w:cs="Times New Roman"/>
        </w:rPr>
        <w:t>1.</w:t>
      </w:r>
      <w:r w:rsidRPr="006F14E7">
        <w:rPr>
          <w:rFonts w:ascii="Times New Roman" w:hAnsi="Times New Roman" w:cs="Times New Roman"/>
        </w:rPr>
        <w:tab/>
        <w:t>Contreras, G. EL Seguro Popular de Salud en el marco de las reformas a las políticas de salud en México en el municipio de Valle de Chalco</w:t>
      </w:r>
      <w:r w:rsidR="005875AD">
        <w:rPr>
          <w:rFonts w:ascii="Times New Roman" w:hAnsi="Times New Roman" w:cs="Times New Roman"/>
        </w:rPr>
        <w:t xml:space="preserve"> So</w:t>
      </w:r>
      <w:r w:rsidR="00B03B67">
        <w:rPr>
          <w:rFonts w:ascii="Times New Roman" w:hAnsi="Times New Roman" w:cs="Times New Roman"/>
        </w:rPr>
        <w:t>lidaridad, Estado de México.</w:t>
      </w:r>
      <w:r w:rsidR="00F97F05" w:rsidRPr="00B03B67">
        <w:rPr>
          <w:rFonts w:ascii="Times New Roman" w:hAnsi="Times New Roman" w:cs="Times New Roman"/>
        </w:rPr>
        <w:t xml:space="preserve"> </w:t>
      </w:r>
      <w:r w:rsidR="00F97F05" w:rsidRPr="00F97F05">
        <w:rPr>
          <w:rFonts w:ascii="Times New Roman" w:hAnsi="Times New Roman" w:cs="Times New Roman"/>
        </w:rPr>
        <w:t>[</w:t>
      </w:r>
      <w:r w:rsidR="000E5245" w:rsidRPr="00F97F05">
        <w:rPr>
          <w:rFonts w:ascii="Times New Roman" w:hAnsi="Times New Roman" w:cs="Times New Roman"/>
        </w:rPr>
        <w:t>Tesis Doctoral]</w:t>
      </w:r>
      <w:r w:rsidR="00F97F05">
        <w:rPr>
          <w:rFonts w:ascii="Times New Roman" w:hAnsi="Times New Roman" w:cs="Times New Roman"/>
        </w:rPr>
        <w:t xml:space="preserve">. </w:t>
      </w:r>
      <w:r w:rsidRPr="006F14E7">
        <w:rPr>
          <w:rFonts w:ascii="Times New Roman" w:hAnsi="Times New Roman" w:cs="Times New Roman"/>
        </w:rPr>
        <w:t>Uni</w:t>
      </w:r>
      <w:r w:rsidR="00AE1DE4">
        <w:rPr>
          <w:rFonts w:ascii="Times New Roman" w:hAnsi="Times New Roman" w:cs="Times New Roman"/>
        </w:rPr>
        <w:t xml:space="preserve">versidad </w:t>
      </w:r>
      <w:r w:rsidR="00AE1DE4" w:rsidRPr="003D2268">
        <w:rPr>
          <w:rFonts w:ascii="Times New Roman" w:hAnsi="Times New Roman" w:cs="Times New Roman"/>
        </w:rPr>
        <w:t>Autónoma Metropolitana,</w:t>
      </w:r>
      <w:r w:rsidRPr="003D2268">
        <w:rPr>
          <w:rFonts w:ascii="Times New Roman" w:hAnsi="Times New Roman" w:cs="Times New Roman"/>
        </w:rPr>
        <w:t xml:space="preserve"> 2010</w:t>
      </w:r>
      <w:r w:rsidR="00025767" w:rsidRPr="003D2268">
        <w:rPr>
          <w:rFonts w:ascii="Times New Roman" w:hAnsi="Times New Roman" w:cs="Times New Roman"/>
        </w:rPr>
        <w:t>; 1</w:t>
      </w:r>
      <w:r w:rsidRPr="003D2268">
        <w:rPr>
          <w:rFonts w:ascii="Times New Roman" w:hAnsi="Times New Roman" w:cs="Times New Roman"/>
        </w:rPr>
        <w:t>:</w:t>
      </w:r>
      <w:r w:rsidR="005875AD" w:rsidRPr="003D2268">
        <w:rPr>
          <w:rFonts w:ascii="Times New Roman" w:hAnsi="Times New Roman" w:cs="Times New Roman"/>
        </w:rPr>
        <w:t xml:space="preserve"> </w:t>
      </w:r>
      <w:r w:rsidRPr="003D2268">
        <w:rPr>
          <w:rFonts w:ascii="Times New Roman" w:hAnsi="Times New Roman" w:cs="Times New Roman"/>
        </w:rPr>
        <w:t>1-273.</w:t>
      </w:r>
    </w:p>
    <w:p w14:paraId="05B4D2CC" w14:textId="5B7F7DCE" w:rsidR="00711B6D" w:rsidRPr="003D2268" w:rsidRDefault="00711B6D" w:rsidP="00711B6D">
      <w:pPr>
        <w:rPr>
          <w:rFonts w:ascii="Times New Roman" w:hAnsi="Times New Roman" w:cs="Times New Roman"/>
        </w:rPr>
      </w:pPr>
      <w:r w:rsidRPr="003D2268">
        <w:rPr>
          <w:rFonts w:ascii="Times New Roman" w:hAnsi="Times New Roman" w:cs="Times New Roman"/>
        </w:rPr>
        <w:t>2.</w:t>
      </w:r>
      <w:r w:rsidRPr="003D2268">
        <w:rPr>
          <w:rFonts w:ascii="Times New Roman" w:hAnsi="Times New Roman" w:cs="Times New Roman"/>
        </w:rPr>
        <w:tab/>
        <w:t>Montesinos, R.</w:t>
      </w:r>
      <w:r w:rsidR="00DE777A" w:rsidRPr="003D2268">
        <w:rPr>
          <w:rFonts w:ascii="Times New Roman" w:hAnsi="Times New Roman" w:cs="Times New Roman"/>
        </w:rPr>
        <w:t>;</w:t>
      </w:r>
      <w:r w:rsidRPr="003D2268">
        <w:rPr>
          <w:rFonts w:ascii="Times New Roman" w:hAnsi="Times New Roman" w:cs="Times New Roman"/>
        </w:rPr>
        <w:t xml:space="preserve"> </w:t>
      </w:r>
      <w:r w:rsidR="00BA1F73" w:rsidRPr="003D2268">
        <w:rPr>
          <w:rFonts w:ascii="Times New Roman" w:hAnsi="Times New Roman" w:cs="Times New Roman"/>
        </w:rPr>
        <w:t>Martínez</w:t>
      </w:r>
      <w:r w:rsidR="00DE777A" w:rsidRPr="003D2268">
        <w:rPr>
          <w:rFonts w:ascii="Times New Roman" w:hAnsi="Times New Roman" w:cs="Times New Roman"/>
        </w:rPr>
        <w:t>, G</w:t>
      </w:r>
      <w:r w:rsidR="00BA1F73" w:rsidRPr="003D2268">
        <w:rPr>
          <w:rFonts w:ascii="Times New Roman" w:hAnsi="Times New Roman" w:cs="Times New Roman"/>
        </w:rPr>
        <w:t xml:space="preserve">. </w:t>
      </w:r>
      <w:r w:rsidRPr="003D2268">
        <w:rPr>
          <w:rFonts w:ascii="Times New Roman" w:hAnsi="Times New Roman" w:cs="Times New Roman"/>
        </w:rPr>
        <w:t>Empresarios, neoliberalismo y las miserias</w:t>
      </w:r>
      <w:r w:rsidR="00AE1DE4" w:rsidRPr="003D2268">
        <w:rPr>
          <w:rFonts w:ascii="Times New Roman" w:hAnsi="Times New Roman" w:cs="Times New Roman"/>
        </w:rPr>
        <w:t xml:space="preserve"> de la transición. El Cotidiano,</w:t>
      </w:r>
      <w:r w:rsidRPr="003D2268">
        <w:rPr>
          <w:rFonts w:ascii="Times New Roman" w:hAnsi="Times New Roman" w:cs="Times New Roman"/>
        </w:rPr>
        <w:t xml:space="preserve"> 2000;</w:t>
      </w:r>
      <w:r w:rsidR="00BA1F73" w:rsidRPr="003D2268">
        <w:rPr>
          <w:rFonts w:ascii="Times New Roman" w:hAnsi="Times New Roman" w:cs="Times New Roman"/>
        </w:rPr>
        <w:t xml:space="preserve"> </w:t>
      </w:r>
      <w:r w:rsidRPr="003D2268">
        <w:rPr>
          <w:rFonts w:ascii="Times New Roman" w:hAnsi="Times New Roman" w:cs="Times New Roman"/>
        </w:rPr>
        <w:t>100(16):</w:t>
      </w:r>
      <w:r w:rsidR="008428EC" w:rsidRPr="003D2268">
        <w:rPr>
          <w:rFonts w:ascii="Times New Roman" w:hAnsi="Times New Roman" w:cs="Times New Roman"/>
        </w:rPr>
        <w:t xml:space="preserve"> </w:t>
      </w:r>
      <w:r w:rsidRPr="003D2268">
        <w:rPr>
          <w:rFonts w:ascii="Times New Roman" w:hAnsi="Times New Roman" w:cs="Times New Roman"/>
        </w:rPr>
        <w:t>90-104.</w:t>
      </w:r>
      <w:r w:rsidR="00B02959"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30" w:history="1">
        <w:r w:rsidRPr="003D2268">
          <w:rPr>
            <w:rStyle w:val="Hipervnculo"/>
            <w:rFonts w:ascii="Times New Roman" w:hAnsi="Times New Roman" w:cs="Times New Roman"/>
          </w:rPr>
          <w:t>https://www.redalyc.org/pdf/325/32510011.pdf</w:t>
        </w:r>
      </w:hyperlink>
    </w:p>
    <w:p w14:paraId="0507A28C" w14:textId="17192E85" w:rsidR="00711B6D" w:rsidRPr="003D2268" w:rsidRDefault="00711B6D" w:rsidP="00711B6D">
      <w:pPr>
        <w:rPr>
          <w:rFonts w:ascii="Times New Roman" w:hAnsi="Times New Roman" w:cs="Times New Roman"/>
        </w:rPr>
      </w:pPr>
      <w:r w:rsidRPr="003D2268">
        <w:rPr>
          <w:rFonts w:ascii="Times New Roman" w:hAnsi="Times New Roman" w:cs="Times New Roman"/>
        </w:rPr>
        <w:t>3.</w:t>
      </w:r>
      <w:r w:rsidRPr="003D2268">
        <w:rPr>
          <w:rFonts w:ascii="Times New Roman" w:hAnsi="Times New Roman" w:cs="Times New Roman"/>
        </w:rPr>
        <w:tab/>
        <w:t>Ceja, C. La política social mexicana de c</w:t>
      </w:r>
      <w:r w:rsidR="00BA1F73" w:rsidRPr="003D2268">
        <w:rPr>
          <w:rFonts w:ascii="Times New Roman" w:hAnsi="Times New Roman" w:cs="Times New Roman"/>
        </w:rPr>
        <w:t>ara a la pobreza.  Geografía y Ciencias S</w:t>
      </w:r>
      <w:r w:rsidR="002031FB" w:rsidRPr="003D2268">
        <w:rPr>
          <w:rFonts w:ascii="Times New Roman" w:hAnsi="Times New Roman" w:cs="Times New Roman"/>
        </w:rPr>
        <w:t>ociales,</w:t>
      </w:r>
      <w:r w:rsidRPr="003D2268">
        <w:rPr>
          <w:rFonts w:ascii="Times New Roman" w:hAnsi="Times New Roman" w:cs="Times New Roman"/>
        </w:rPr>
        <w:t xml:space="preserve"> 2004;</w:t>
      </w:r>
      <w:r w:rsidR="00132AE7" w:rsidRPr="003D2268">
        <w:rPr>
          <w:rFonts w:ascii="Times New Roman" w:hAnsi="Times New Roman" w:cs="Times New Roman"/>
        </w:rPr>
        <w:t xml:space="preserve"> </w:t>
      </w:r>
      <w:r w:rsidRPr="003D2268">
        <w:rPr>
          <w:rFonts w:ascii="Times New Roman" w:hAnsi="Times New Roman" w:cs="Times New Roman"/>
        </w:rPr>
        <w:t>173(8):</w:t>
      </w:r>
      <w:r w:rsidR="00132AE7" w:rsidRPr="003D2268">
        <w:rPr>
          <w:rFonts w:ascii="Times New Roman" w:hAnsi="Times New Roman" w:cs="Times New Roman"/>
        </w:rPr>
        <w:t xml:space="preserve"> </w:t>
      </w:r>
      <w:r w:rsidRPr="003D2268">
        <w:rPr>
          <w:rFonts w:ascii="Times New Roman" w:hAnsi="Times New Roman" w:cs="Times New Roman"/>
        </w:rPr>
        <w:t>157-180.</w:t>
      </w:r>
      <w:r w:rsidR="00DE3D99"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31" w:history="1">
        <w:r w:rsidRPr="003D2268">
          <w:rPr>
            <w:rStyle w:val="Hipervnculo"/>
            <w:rFonts w:ascii="Times New Roman" w:hAnsi="Times New Roman" w:cs="Times New Roman"/>
          </w:rPr>
          <w:t>http://www.ub.edu/geocrit/sn/sn-176.htm</w:t>
        </w:r>
      </w:hyperlink>
    </w:p>
    <w:p w14:paraId="10F37E73" w14:textId="3A2EFBA5" w:rsidR="00711B6D" w:rsidRPr="003D2268" w:rsidRDefault="00711B6D" w:rsidP="00711B6D">
      <w:pPr>
        <w:rPr>
          <w:rFonts w:ascii="Times New Roman" w:hAnsi="Times New Roman" w:cs="Times New Roman"/>
        </w:rPr>
      </w:pPr>
      <w:r w:rsidRPr="003D2268">
        <w:rPr>
          <w:rFonts w:ascii="Times New Roman" w:hAnsi="Times New Roman" w:cs="Times New Roman"/>
        </w:rPr>
        <w:t>4.</w:t>
      </w:r>
      <w:r w:rsidRPr="003D2268">
        <w:rPr>
          <w:rFonts w:ascii="Times New Roman" w:hAnsi="Times New Roman" w:cs="Times New Roman"/>
        </w:rPr>
        <w:tab/>
        <w:t>Botello, M. Evolución del salario mínimo en</w:t>
      </w:r>
      <w:r w:rsidR="00DE3D99" w:rsidRPr="003D2268">
        <w:rPr>
          <w:rFonts w:ascii="Times New Roman" w:hAnsi="Times New Roman" w:cs="Times New Roman"/>
        </w:rPr>
        <w:t xml:space="preserve"> México de 1</w:t>
      </w:r>
      <w:r w:rsidR="007A766A">
        <w:rPr>
          <w:rFonts w:ascii="Times New Roman" w:hAnsi="Times New Roman" w:cs="Times New Roman"/>
        </w:rPr>
        <w:t xml:space="preserve">935 a 2019. México </w:t>
      </w:r>
      <w:proofErr w:type="spellStart"/>
      <w:r w:rsidR="007A766A">
        <w:rPr>
          <w:rFonts w:ascii="Times New Roman" w:hAnsi="Times New Roman" w:cs="Times New Roman"/>
        </w:rPr>
        <w:t>Máx</w:t>
      </w:r>
      <w:r w:rsidR="00DE3D99" w:rsidRPr="003D2268">
        <w:rPr>
          <w:rFonts w:ascii="Times New Roman" w:hAnsi="Times New Roman" w:cs="Times New Roman"/>
        </w:rPr>
        <w:t>ico</w:t>
      </w:r>
      <w:proofErr w:type="spellEnd"/>
      <w:r w:rsidR="00DE3D99" w:rsidRPr="003D2268">
        <w:rPr>
          <w:rFonts w:ascii="Times New Roman" w:hAnsi="Times New Roman" w:cs="Times New Roman"/>
        </w:rPr>
        <w:t>,</w:t>
      </w:r>
      <w:r w:rsidRPr="003D2268">
        <w:rPr>
          <w:rFonts w:ascii="Times New Roman" w:hAnsi="Times New Roman" w:cs="Times New Roman"/>
        </w:rPr>
        <w:t xml:space="preserve"> 2020.</w:t>
      </w:r>
      <w:r w:rsidR="00DE3D99"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32" w:history="1">
        <w:r w:rsidRPr="003D2268">
          <w:rPr>
            <w:rStyle w:val="Hipervnculo"/>
            <w:rFonts w:ascii="Times New Roman" w:hAnsi="Times New Roman" w:cs="Times New Roman"/>
          </w:rPr>
          <w:t>http://www.mexicomaxico.org/Voto/SalMinInf.htm</w:t>
        </w:r>
      </w:hyperlink>
    </w:p>
    <w:p w14:paraId="6846ADFC" w14:textId="14F9D1BA" w:rsidR="00711B6D" w:rsidRPr="003D2268" w:rsidRDefault="00711B6D" w:rsidP="00711B6D">
      <w:pPr>
        <w:rPr>
          <w:rFonts w:ascii="Times New Roman" w:hAnsi="Times New Roman" w:cs="Times New Roman"/>
        </w:rPr>
      </w:pPr>
      <w:r w:rsidRPr="003D2268">
        <w:rPr>
          <w:rFonts w:ascii="Times New Roman" w:hAnsi="Times New Roman" w:cs="Times New Roman"/>
        </w:rPr>
        <w:t>5.</w:t>
      </w:r>
      <w:r w:rsidRPr="003D2268">
        <w:rPr>
          <w:rFonts w:ascii="Times New Roman" w:hAnsi="Times New Roman" w:cs="Times New Roman"/>
        </w:rPr>
        <w:tab/>
      </w:r>
      <w:r w:rsidR="00132AE7" w:rsidRPr="003D2268">
        <w:rPr>
          <w:rFonts w:ascii="Times New Roman" w:hAnsi="Times New Roman" w:cs="Times New Roman"/>
        </w:rPr>
        <w:t>Consejo Nacional de Ciencia y Tecnología (</w:t>
      </w:r>
      <w:proofErr w:type="spellStart"/>
      <w:r w:rsidRPr="003D2268">
        <w:rPr>
          <w:rFonts w:ascii="Times New Roman" w:hAnsi="Times New Roman" w:cs="Times New Roman"/>
        </w:rPr>
        <w:t>CONACyT</w:t>
      </w:r>
      <w:proofErr w:type="spellEnd"/>
      <w:r w:rsidR="00132AE7" w:rsidRPr="003D2268">
        <w:rPr>
          <w:rFonts w:ascii="Times New Roman" w:hAnsi="Times New Roman" w:cs="Times New Roman"/>
        </w:rPr>
        <w:t>)</w:t>
      </w:r>
      <w:r w:rsidRPr="003D2268">
        <w:rPr>
          <w:rFonts w:ascii="Times New Roman" w:hAnsi="Times New Roman" w:cs="Times New Roman"/>
        </w:rPr>
        <w:t xml:space="preserve">. Covid-19 México. Información General. </w:t>
      </w:r>
      <w:r w:rsidR="00DA6217" w:rsidRPr="003D2268">
        <w:rPr>
          <w:rFonts w:ascii="Times New Roman" w:hAnsi="Times New Roman" w:cs="Times New Roman"/>
        </w:rPr>
        <w:t>Consejo Nacional de Ciencia y Tecnología</w:t>
      </w:r>
      <w:r w:rsidR="00036261" w:rsidRPr="003D2268">
        <w:rPr>
          <w:rFonts w:ascii="Times New Roman" w:hAnsi="Times New Roman" w:cs="Times New Roman"/>
        </w:rPr>
        <w:t>,</w:t>
      </w:r>
      <w:r w:rsidR="00DA6217" w:rsidRPr="003D2268">
        <w:rPr>
          <w:rFonts w:ascii="Times New Roman" w:hAnsi="Times New Roman" w:cs="Times New Roman"/>
        </w:rPr>
        <w:t xml:space="preserve"> </w:t>
      </w:r>
      <w:r w:rsidRPr="003D2268">
        <w:rPr>
          <w:rFonts w:ascii="Times New Roman" w:hAnsi="Times New Roman" w:cs="Times New Roman"/>
        </w:rPr>
        <w:t>2020.</w:t>
      </w:r>
      <w:r w:rsidR="00036261"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33" w:anchor="DOView" w:history="1">
        <w:r w:rsidRPr="003D2268">
          <w:rPr>
            <w:rStyle w:val="Hipervnculo"/>
            <w:rFonts w:ascii="Times New Roman" w:hAnsi="Times New Roman" w:cs="Times New Roman"/>
          </w:rPr>
          <w:t>https://datos.covid-19.conacyt.mx/#DOView</w:t>
        </w:r>
      </w:hyperlink>
    </w:p>
    <w:p w14:paraId="7A8D7CD4" w14:textId="0C94ACC9" w:rsidR="00711B6D" w:rsidRPr="003D2268" w:rsidRDefault="00DA6217" w:rsidP="00711B6D">
      <w:pPr>
        <w:rPr>
          <w:rFonts w:ascii="Times New Roman" w:hAnsi="Times New Roman" w:cs="Times New Roman"/>
        </w:rPr>
      </w:pPr>
      <w:r w:rsidRPr="003D2268">
        <w:rPr>
          <w:rFonts w:ascii="Times New Roman" w:hAnsi="Times New Roman" w:cs="Times New Roman"/>
        </w:rPr>
        <w:lastRenderedPageBreak/>
        <w:t>6.</w:t>
      </w:r>
      <w:r w:rsidRPr="003D2268">
        <w:rPr>
          <w:rFonts w:ascii="Times New Roman" w:hAnsi="Times New Roman" w:cs="Times New Roman"/>
        </w:rPr>
        <w:tab/>
        <w:t>Consejo Nacional de Evaluación de la P</w:t>
      </w:r>
      <w:r w:rsidR="000178AE" w:rsidRPr="003D2268">
        <w:rPr>
          <w:rFonts w:ascii="Times New Roman" w:hAnsi="Times New Roman" w:cs="Times New Roman"/>
        </w:rPr>
        <w:t xml:space="preserve">olítica de Desarrollo Social. </w:t>
      </w:r>
      <w:r w:rsidR="00711B6D" w:rsidRPr="003D2268">
        <w:rPr>
          <w:rFonts w:ascii="Times New Roman" w:hAnsi="Times New Roman" w:cs="Times New Roman"/>
        </w:rPr>
        <w:t xml:space="preserve">Visor geoespacial de la pobreza y la COVID-19 en los municipios. </w:t>
      </w:r>
      <w:r w:rsidR="007A30C9" w:rsidRPr="003D2268">
        <w:rPr>
          <w:rFonts w:ascii="Times New Roman" w:hAnsi="Times New Roman" w:cs="Times New Roman"/>
        </w:rPr>
        <w:t>Consejo Nacional de Evaluaci</w:t>
      </w:r>
      <w:r w:rsidR="00945811" w:rsidRPr="003D2268">
        <w:rPr>
          <w:rFonts w:ascii="Times New Roman" w:hAnsi="Times New Roman" w:cs="Times New Roman"/>
        </w:rPr>
        <w:t>ón de la Política de Desarrollo,</w:t>
      </w:r>
      <w:r w:rsidR="007A30C9" w:rsidRPr="003D2268">
        <w:rPr>
          <w:rFonts w:ascii="Times New Roman" w:hAnsi="Times New Roman" w:cs="Times New Roman"/>
        </w:rPr>
        <w:t xml:space="preserve"> </w:t>
      </w:r>
      <w:r w:rsidR="00711B6D" w:rsidRPr="003D2268">
        <w:rPr>
          <w:rFonts w:ascii="Times New Roman" w:hAnsi="Times New Roman" w:cs="Times New Roman"/>
        </w:rPr>
        <w:t>2020.</w:t>
      </w:r>
      <w:r w:rsidR="00945811"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34" w:history="1">
        <w:r w:rsidR="00711B6D" w:rsidRPr="003D2268">
          <w:rPr>
            <w:rStyle w:val="Hipervnculo"/>
            <w:rFonts w:ascii="Times New Roman" w:hAnsi="Times New Roman" w:cs="Times New Roman"/>
          </w:rPr>
          <w:t>https://coneval.maps.arcgis.com/apps/dashboards/b1dc36ef3b954ba7aa198b3777cf4911</w:t>
        </w:r>
      </w:hyperlink>
    </w:p>
    <w:p w14:paraId="20FABA84" w14:textId="34477BC8" w:rsidR="00711B6D" w:rsidRPr="003D2268" w:rsidRDefault="00711B6D" w:rsidP="00711B6D">
      <w:pPr>
        <w:rPr>
          <w:rFonts w:ascii="Times New Roman" w:hAnsi="Times New Roman" w:cs="Times New Roman"/>
        </w:rPr>
      </w:pPr>
      <w:r w:rsidRPr="003D2268">
        <w:rPr>
          <w:rFonts w:ascii="Times New Roman" w:hAnsi="Times New Roman" w:cs="Times New Roman"/>
        </w:rPr>
        <w:t>7.</w:t>
      </w:r>
      <w:r w:rsidRPr="003D2268">
        <w:rPr>
          <w:rFonts w:ascii="Times New Roman" w:hAnsi="Times New Roman" w:cs="Times New Roman"/>
        </w:rPr>
        <w:tab/>
      </w:r>
      <w:r w:rsidR="00C21BF9" w:rsidRPr="003D2268">
        <w:rPr>
          <w:rFonts w:ascii="Times New Roman" w:hAnsi="Times New Roman" w:cs="Times New Roman"/>
        </w:rPr>
        <w:t xml:space="preserve">Cámara de Diputados. </w:t>
      </w:r>
      <w:r w:rsidRPr="003D2268">
        <w:rPr>
          <w:rFonts w:ascii="Times New Roman" w:hAnsi="Times New Roman" w:cs="Times New Roman"/>
        </w:rPr>
        <w:t xml:space="preserve">Constitución Política de los Estados Unidos Mexicanos de 1917. </w:t>
      </w:r>
      <w:r w:rsidR="00C21BF9" w:rsidRPr="003D2268">
        <w:rPr>
          <w:rFonts w:ascii="Times New Roman" w:hAnsi="Times New Roman" w:cs="Times New Roman"/>
        </w:rPr>
        <w:t>Diario Oficial de la Federación</w:t>
      </w:r>
      <w:r w:rsidR="00CA279F" w:rsidRPr="003D2268">
        <w:rPr>
          <w:rFonts w:ascii="Times New Roman" w:hAnsi="Times New Roman" w:cs="Times New Roman"/>
        </w:rPr>
        <w:t>,</w:t>
      </w:r>
      <w:r w:rsidRPr="003D2268">
        <w:rPr>
          <w:rFonts w:ascii="Times New Roman" w:hAnsi="Times New Roman" w:cs="Times New Roman"/>
        </w:rPr>
        <w:t xml:space="preserve"> 2020:</w:t>
      </w:r>
      <w:r w:rsidR="00E808F8" w:rsidRPr="003D2268">
        <w:rPr>
          <w:rFonts w:ascii="Times New Roman" w:hAnsi="Times New Roman" w:cs="Times New Roman"/>
        </w:rPr>
        <w:t xml:space="preserve"> </w:t>
      </w:r>
      <w:r w:rsidRPr="003D2268">
        <w:rPr>
          <w:rFonts w:ascii="Times New Roman" w:hAnsi="Times New Roman" w:cs="Times New Roman"/>
        </w:rPr>
        <w:t xml:space="preserve">1-418. </w:t>
      </w:r>
      <w:r w:rsidR="002637A3" w:rsidRPr="003D2268">
        <w:rPr>
          <w:rFonts w:ascii="Times New Roman" w:hAnsi="Times New Roman" w:cs="Times New Roman"/>
        </w:rPr>
        <w:t xml:space="preserve">Disponible  en: </w:t>
      </w:r>
      <w:hyperlink r:id="rId35" w:history="1">
        <w:r w:rsidRPr="003D2268">
          <w:rPr>
            <w:rStyle w:val="Hipervnculo"/>
            <w:rFonts w:ascii="Times New Roman" w:hAnsi="Times New Roman" w:cs="Times New Roman"/>
          </w:rPr>
          <w:t>http://www.diputados.gob.mx/LeyesBiblio/pdf_mov/Constitucion_Politica.pdf</w:t>
        </w:r>
      </w:hyperlink>
    </w:p>
    <w:p w14:paraId="4DD22A33" w14:textId="7E5A7523" w:rsidR="00711B6D" w:rsidRPr="003D2268" w:rsidRDefault="00711B6D" w:rsidP="00711B6D">
      <w:pPr>
        <w:rPr>
          <w:rFonts w:ascii="Times New Roman" w:hAnsi="Times New Roman" w:cs="Times New Roman"/>
        </w:rPr>
      </w:pPr>
      <w:r w:rsidRPr="003D2268">
        <w:rPr>
          <w:rFonts w:ascii="Times New Roman" w:hAnsi="Times New Roman" w:cs="Times New Roman"/>
        </w:rPr>
        <w:t>8.</w:t>
      </w:r>
      <w:r w:rsidRPr="003D2268">
        <w:rPr>
          <w:rFonts w:ascii="Times New Roman" w:hAnsi="Times New Roman" w:cs="Times New Roman"/>
        </w:rPr>
        <w:tab/>
        <w:t>García, J. Matrícula y gasto nacional en educ</w:t>
      </w:r>
      <w:r w:rsidR="00D23CF2" w:rsidRPr="003D2268">
        <w:rPr>
          <w:rFonts w:ascii="Times New Roman" w:hAnsi="Times New Roman" w:cs="Times New Roman"/>
        </w:rPr>
        <w:t>ación en México, 1976-2000. El C</w:t>
      </w:r>
      <w:r w:rsidRPr="003D2268">
        <w:rPr>
          <w:rFonts w:ascii="Times New Roman" w:hAnsi="Times New Roman" w:cs="Times New Roman"/>
        </w:rPr>
        <w:t>otidiano. 2003;</w:t>
      </w:r>
      <w:r w:rsidR="00D23CF2" w:rsidRPr="003D2268">
        <w:rPr>
          <w:rFonts w:ascii="Times New Roman" w:hAnsi="Times New Roman" w:cs="Times New Roman"/>
        </w:rPr>
        <w:t xml:space="preserve"> </w:t>
      </w:r>
      <w:r w:rsidRPr="003D2268">
        <w:rPr>
          <w:rFonts w:ascii="Times New Roman" w:hAnsi="Times New Roman" w:cs="Times New Roman"/>
        </w:rPr>
        <w:t>117(19):</w:t>
      </w:r>
      <w:r w:rsidR="00E808F8" w:rsidRPr="003D2268">
        <w:rPr>
          <w:rFonts w:ascii="Times New Roman" w:hAnsi="Times New Roman" w:cs="Times New Roman"/>
        </w:rPr>
        <w:t xml:space="preserve"> </w:t>
      </w:r>
      <w:r w:rsidRPr="003D2268">
        <w:rPr>
          <w:rFonts w:ascii="Times New Roman" w:hAnsi="Times New Roman" w:cs="Times New Roman"/>
        </w:rPr>
        <w:t>75-86.</w:t>
      </w:r>
      <w:r w:rsidR="004B17FE"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36" w:history="1">
        <w:r w:rsidRPr="003D2268">
          <w:rPr>
            <w:rStyle w:val="Hipervnculo"/>
            <w:rFonts w:ascii="Times New Roman" w:hAnsi="Times New Roman" w:cs="Times New Roman"/>
          </w:rPr>
          <w:t>https://www.redalyc.org/pdf/325/32511710.pdf</w:t>
        </w:r>
      </w:hyperlink>
    </w:p>
    <w:p w14:paraId="12A9D4FA" w14:textId="05F941D5" w:rsidR="00711B6D" w:rsidRPr="003D2268" w:rsidRDefault="00D44A0D" w:rsidP="00711B6D">
      <w:pPr>
        <w:rPr>
          <w:rFonts w:ascii="Times New Roman" w:hAnsi="Times New Roman" w:cs="Times New Roman"/>
        </w:rPr>
      </w:pPr>
      <w:r>
        <w:rPr>
          <w:rFonts w:ascii="Times New Roman" w:hAnsi="Times New Roman" w:cs="Times New Roman"/>
        </w:rPr>
        <w:t>9.</w:t>
      </w:r>
      <w:r>
        <w:rPr>
          <w:rFonts w:ascii="Times New Roman" w:hAnsi="Times New Roman" w:cs="Times New Roman"/>
        </w:rPr>
        <w:tab/>
        <w:t>Secretaría de Salud</w:t>
      </w:r>
      <w:r w:rsidR="00711B6D" w:rsidRPr="003D2268">
        <w:rPr>
          <w:rFonts w:ascii="Times New Roman" w:hAnsi="Times New Roman" w:cs="Times New Roman"/>
        </w:rPr>
        <w:t xml:space="preserve">. </w:t>
      </w:r>
      <w:r>
        <w:rPr>
          <w:rFonts w:ascii="Times New Roman" w:hAnsi="Times New Roman" w:cs="Times New Roman"/>
        </w:rPr>
        <w:t>Programa Nacional de Salud</w:t>
      </w:r>
      <w:r w:rsidR="00711B6D" w:rsidRPr="003D2268">
        <w:rPr>
          <w:rFonts w:ascii="Times New Roman" w:hAnsi="Times New Roman" w:cs="Times New Roman"/>
        </w:rPr>
        <w:t xml:space="preserve"> 1991–1994. </w:t>
      </w:r>
      <w:r w:rsidR="00036261" w:rsidRPr="003D2268">
        <w:rPr>
          <w:rFonts w:ascii="Times New Roman" w:hAnsi="Times New Roman" w:cs="Times New Roman"/>
        </w:rPr>
        <w:t>Diario Oficial de la Federación,</w:t>
      </w:r>
      <w:r w:rsidR="002637A3" w:rsidRPr="003D2268">
        <w:rPr>
          <w:rFonts w:ascii="Times New Roman" w:hAnsi="Times New Roman" w:cs="Times New Roman"/>
        </w:rPr>
        <w:t xml:space="preserve"> 1991</w:t>
      </w:r>
      <w:r w:rsidR="00711B6D" w:rsidRPr="003D2268">
        <w:rPr>
          <w:rFonts w:ascii="Times New Roman" w:hAnsi="Times New Roman" w:cs="Times New Roman"/>
        </w:rPr>
        <w:t>:</w:t>
      </w:r>
      <w:r w:rsidR="00D23CF2" w:rsidRPr="003D2268">
        <w:rPr>
          <w:rFonts w:ascii="Times New Roman" w:hAnsi="Times New Roman" w:cs="Times New Roman"/>
        </w:rPr>
        <w:t xml:space="preserve"> </w:t>
      </w:r>
      <w:r w:rsidR="00711B6D" w:rsidRPr="003D2268">
        <w:rPr>
          <w:rFonts w:ascii="Times New Roman" w:hAnsi="Times New Roman" w:cs="Times New Roman"/>
        </w:rPr>
        <w:t>1-26.</w:t>
      </w:r>
      <w:r w:rsidR="00036261"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37" w:history="1">
        <w:r w:rsidR="00711B6D" w:rsidRPr="003D2268">
          <w:rPr>
            <w:rStyle w:val="Hipervnculo"/>
            <w:rFonts w:ascii="Times New Roman" w:hAnsi="Times New Roman" w:cs="Times New Roman"/>
          </w:rPr>
          <w:t>http://www.dof.gob.mx/nota_detalle.php?codigo=4698929&amp;fecha=11/01/1991</w:t>
        </w:r>
      </w:hyperlink>
    </w:p>
    <w:p w14:paraId="185C2442" w14:textId="3A268240" w:rsidR="00711B6D" w:rsidRPr="00CA6657" w:rsidRDefault="00711B6D" w:rsidP="00711B6D">
      <w:pPr>
        <w:rPr>
          <w:rFonts w:ascii="Times New Roman" w:hAnsi="Times New Roman" w:cs="Times New Roman"/>
          <w:lang w:val="es-CL"/>
        </w:rPr>
      </w:pPr>
      <w:r w:rsidRPr="003D2268">
        <w:rPr>
          <w:rFonts w:ascii="Times New Roman" w:hAnsi="Times New Roman" w:cs="Times New Roman"/>
        </w:rPr>
        <w:t>10.</w:t>
      </w:r>
      <w:r w:rsidRPr="003D2268">
        <w:rPr>
          <w:rFonts w:ascii="Times New Roman" w:hAnsi="Times New Roman" w:cs="Times New Roman"/>
        </w:rPr>
        <w:tab/>
        <w:t>Instituto Nacional para la Evaluación de la Educación (INEE). Panorama educativo de México. Indicadores del Sistema Educativo Nacional 2017</w:t>
      </w:r>
      <w:r w:rsidR="00CA279F" w:rsidRPr="003D2268">
        <w:rPr>
          <w:rFonts w:ascii="Times New Roman" w:hAnsi="Times New Roman" w:cs="Times New Roman"/>
        </w:rPr>
        <w:t>.</w:t>
      </w:r>
      <w:r w:rsidRPr="003D2268">
        <w:rPr>
          <w:rFonts w:ascii="Times New Roman" w:hAnsi="Times New Roman" w:cs="Times New Roman"/>
        </w:rPr>
        <w:t xml:space="preserve"> Educación básica y media superior. S</w:t>
      </w:r>
      <w:r w:rsidR="00D02770" w:rsidRPr="003D2268">
        <w:rPr>
          <w:rFonts w:ascii="Times New Roman" w:hAnsi="Times New Roman" w:cs="Times New Roman"/>
        </w:rPr>
        <w:t>ecretaría</w:t>
      </w:r>
      <w:r w:rsidR="00D02770" w:rsidRPr="00CA6657">
        <w:rPr>
          <w:rFonts w:ascii="Times New Roman" w:hAnsi="Times New Roman" w:cs="Times New Roman"/>
          <w:lang w:val="es-CL"/>
        </w:rPr>
        <w:t xml:space="preserve"> de </w:t>
      </w:r>
      <w:proofErr w:type="spellStart"/>
      <w:r w:rsidR="00D02770" w:rsidRPr="00CA6657">
        <w:rPr>
          <w:rFonts w:ascii="Times New Roman" w:hAnsi="Times New Roman" w:cs="Times New Roman"/>
          <w:lang w:val="es-CL"/>
        </w:rPr>
        <w:t>Education</w:t>
      </w:r>
      <w:proofErr w:type="spellEnd"/>
      <w:r w:rsidR="00D02770" w:rsidRPr="00CA6657">
        <w:rPr>
          <w:rFonts w:ascii="Times New Roman" w:hAnsi="Times New Roman" w:cs="Times New Roman"/>
          <w:lang w:val="es-CL"/>
        </w:rPr>
        <w:t xml:space="preserve"> </w:t>
      </w:r>
      <w:r w:rsidRPr="003D2268">
        <w:rPr>
          <w:rFonts w:ascii="Times New Roman" w:hAnsi="Times New Roman" w:cs="Times New Roman"/>
        </w:rPr>
        <w:t>P</w:t>
      </w:r>
      <w:r w:rsidR="00D02770" w:rsidRPr="003D2268">
        <w:rPr>
          <w:rFonts w:ascii="Times New Roman" w:hAnsi="Times New Roman" w:cs="Times New Roman"/>
        </w:rPr>
        <w:t>ública</w:t>
      </w:r>
      <w:r w:rsidR="00D02770" w:rsidRPr="00CA6657">
        <w:rPr>
          <w:rFonts w:ascii="Times New Roman" w:hAnsi="Times New Roman" w:cs="Times New Roman"/>
          <w:lang w:val="es-CL"/>
        </w:rPr>
        <w:t xml:space="preserve">, </w:t>
      </w:r>
      <w:r w:rsidRPr="00CA6657">
        <w:rPr>
          <w:rFonts w:ascii="Times New Roman" w:hAnsi="Times New Roman" w:cs="Times New Roman"/>
          <w:lang w:val="es-CL"/>
        </w:rPr>
        <w:t>2017:</w:t>
      </w:r>
      <w:r w:rsidR="00FB5B9C" w:rsidRPr="00CA6657">
        <w:rPr>
          <w:rFonts w:ascii="Times New Roman" w:hAnsi="Times New Roman" w:cs="Times New Roman"/>
          <w:lang w:val="es-CL"/>
        </w:rPr>
        <w:t xml:space="preserve"> </w:t>
      </w:r>
      <w:r w:rsidRPr="00CA6657">
        <w:rPr>
          <w:rFonts w:ascii="Times New Roman" w:hAnsi="Times New Roman" w:cs="Times New Roman"/>
          <w:lang w:val="es-CL"/>
        </w:rPr>
        <w:t>9-555.</w:t>
      </w:r>
      <w:r w:rsidR="00D02770" w:rsidRPr="00CA6657">
        <w:rPr>
          <w:rFonts w:ascii="Times New Roman" w:hAnsi="Times New Roman" w:cs="Times New Roman"/>
          <w:lang w:val="es-CL"/>
        </w:rPr>
        <w:t xml:space="preserve"> </w:t>
      </w:r>
      <w:r w:rsidR="004B17FE" w:rsidRPr="003D2268">
        <w:rPr>
          <w:rFonts w:ascii="Times New Roman" w:hAnsi="Times New Roman" w:cs="Times New Roman"/>
        </w:rPr>
        <w:t>Disponible</w:t>
      </w:r>
      <w:r w:rsidR="00D02770" w:rsidRPr="003D2268">
        <w:rPr>
          <w:rFonts w:ascii="Times New Roman" w:hAnsi="Times New Roman" w:cs="Times New Roman"/>
        </w:rPr>
        <w:t xml:space="preserve"> en:</w:t>
      </w:r>
      <w:r w:rsidRPr="00CA6657">
        <w:rPr>
          <w:rFonts w:ascii="Times New Roman" w:hAnsi="Times New Roman" w:cs="Times New Roman"/>
          <w:lang w:val="es-CL"/>
        </w:rPr>
        <w:t xml:space="preserve">  </w:t>
      </w:r>
      <w:hyperlink r:id="rId38" w:history="1">
        <w:r w:rsidRPr="00CA6657">
          <w:rPr>
            <w:rStyle w:val="Hipervnculo"/>
            <w:rFonts w:ascii="Times New Roman" w:hAnsi="Times New Roman" w:cs="Times New Roman"/>
            <w:lang w:val="es-CL"/>
          </w:rPr>
          <w:t>https://historico.mejoredu.gob.mx/wp-content/uploads/2018/12/P1B116.pdf</w:t>
        </w:r>
      </w:hyperlink>
    </w:p>
    <w:p w14:paraId="21E7BC9D" w14:textId="391139CD" w:rsidR="00711B6D" w:rsidRPr="003D2268" w:rsidRDefault="00711B6D" w:rsidP="00711B6D">
      <w:pPr>
        <w:rPr>
          <w:rFonts w:ascii="Times New Roman" w:hAnsi="Times New Roman" w:cs="Times New Roman"/>
        </w:rPr>
      </w:pPr>
      <w:r w:rsidRPr="003D2268">
        <w:rPr>
          <w:rFonts w:ascii="Times New Roman" w:hAnsi="Times New Roman" w:cs="Times New Roman"/>
        </w:rPr>
        <w:t>11.</w:t>
      </w:r>
      <w:r w:rsidRPr="003D2268">
        <w:rPr>
          <w:rFonts w:ascii="Times New Roman" w:hAnsi="Times New Roman" w:cs="Times New Roman"/>
        </w:rPr>
        <w:tab/>
        <w:t>Secretaría de Gobernac</w:t>
      </w:r>
      <w:r w:rsidR="00D44A0D">
        <w:rPr>
          <w:rFonts w:ascii="Times New Roman" w:hAnsi="Times New Roman" w:cs="Times New Roman"/>
        </w:rPr>
        <w:t>ión</w:t>
      </w:r>
      <w:r w:rsidRPr="003D2268">
        <w:rPr>
          <w:rFonts w:ascii="Times New Roman" w:hAnsi="Times New Roman" w:cs="Times New Roman"/>
        </w:rPr>
        <w:t>. P</w:t>
      </w:r>
      <w:r w:rsidR="002637A3" w:rsidRPr="003D2268">
        <w:rPr>
          <w:rFonts w:ascii="Times New Roman" w:hAnsi="Times New Roman" w:cs="Times New Roman"/>
        </w:rPr>
        <w:t>lan Nacional de Desarrollo</w:t>
      </w:r>
      <w:r w:rsidRPr="003D2268">
        <w:rPr>
          <w:rFonts w:ascii="Times New Roman" w:hAnsi="Times New Roman" w:cs="Times New Roman"/>
        </w:rPr>
        <w:t xml:space="preserve"> 1995 – 2000. </w:t>
      </w:r>
      <w:r w:rsidR="00605185" w:rsidRPr="003D2268">
        <w:rPr>
          <w:rFonts w:ascii="Times New Roman" w:hAnsi="Times New Roman" w:cs="Times New Roman"/>
        </w:rPr>
        <w:t>Diario Oficial de la Federación,</w:t>
      </w:r>
      <w:r w:rsidRPr="003D2268">
        <w:rPr>
          <w:rFonts w:ascii="Times New Roman" w:hAnsi="Times New Roman" w:cs="Times New Roman"/>
        </w:rPr>
        <w:t xml:space="preserve"> 1995:</w:t>
      </w:r>
      <w:r w:rsidR="00FB5B9C" w:rsidRPr="003D2268">
        <w:rPr>
          <w:rFonts w:ascii="Times New Roman" w:hAnsi="Times New Roman" w:cs="Times New Roman"/>
        </w:rPr>
        <w:t xml:space="preserve"> </w:t>
      </w:r>
      <w:r w:rsidRPr="003D2268">
        <w:rPr>
          <w:rFonts w:ascii="Times New Roman" w:hAnsi="Times New Roman" w:cs="Times New Roman"/>
        </w:rPr>
        <w:t xml:space="preserve">9-96. </w:t>
      </w:r>
      <w:r w:rsidR="004B17FE" w:rsidRPr="003D2268">
        <w:rPr>
          <w:rFonts w:ascii="Times New Roman" w:hAnsi="Times New Roman" w:cs="Times New Roman"/>
        </w:rPr>
        <w:t>Disponible</w:t>
      </w:r>
      <w:r w:rsidR="007B64AC" w:rsidRPr="003D2268">
        <w:rPr>
          <w:rFonts w:ascii="Times New Roman" w:hAnsi="Times New Roman" w:cs="Times New Roman"/>
        </w:rPr>
        <w:t xml:space="preserve"> en:</w:t>
      </w:r>
      <w:r w:rsidR="005B6E55" w:rsidRPr="003D2268">
        <w:rPr>
          <w:rFonts w:ascii="Times New Roman" w:hAnsi="Times New Roman" w:cs="Times New Roman"/>
        </w:rPr>
        <w:t xml:space="preserve"> </w:t>
      </w:r>
      <w:hyperlink r:id="rId39" w:history="1">
        <w:r w:rsidRPr="003D2268">
          <w:rPr>
            <w:rStyle w:val="Hipervnculo"/>
            <w:rFonts w:ascii="Times New Roman" w:hAnsi="Times New Roman" w:cs="Times New Roman"/>
          </w:rPr>
          <w:t>http://www.diputados.gob.mx/LeyesBiblio/compila/pnd.htm</w:t>
        </w:r>
      </w:hyperlink>
    </w:p>
    <w:p w14:paraId="3A86F9BD" w14:textId="77005EDA" w:rsidR="00702070" w:rsidRPr="003D2268" w:rsidRDefault="00711B6D" w:rsidP="00711B6D">
      <w:pPr>
        <w:rPr>
          <w:rFonts w:ascii="Times New Roman" w:hAnsi="Times New Roman" w:cs="Times New Roman"/>
        </w:rPr>
      </w:pPr>
      <w:r w:rsidRPr="003D2268">
        <w:rPr>
          <w:rFonts w:ascii="Times New Roman" w:hAnsi="Times New Roman" w:cs="Times New Roman"/>
        </w:rPr>
        <w:t>12.</w:t>
      </w:r>
      <w:r w:rsidRPr="003D2268">
        <w:rPr>
          <w:rFonts w:ascii="Times New Roman" w:hAnsi="Times New Roman" w:cs="Times New Roman"/>
        </w:rPr>
        <w:tab/>
        <w:t xml:space="preserve">Cámara de Diputados. </w:t>
      </w:r>
      <w:r w:rsidR="000F54D1" w:rsidRPr="003D2268">
        <w:rPr>
          <w:rFonts w:ascii="Times New Roman" w:hAnsi="Times New Roman" w:cs="Times New Roman"/>
        </w:rPr>
        <w:t>Artículo 123.</w:t>
      </w:r>
      <w:r w:rsidR="00702070" w:rsidRPr="003D2268">
        <w:rPr>
          <w:rFonts w:ascii="Times New Roman" w:hAnsi="Times New Roman" w:cs="Times New Roman"/>
        </w:rPr>
        <w:t xml:space="preserve"> Constitución Política de los Estados Unidos Mexicanos</w:t>
      </w:r>
      <w:r w:rsidRPr="003D2268">
        <w:rPr>
          <w:rFonts w:ascii="Times New Roman" w:hAnsi="Times New Roman" w:cs="Times New Roman"/>
        </w:rPr>
        <w:t>. Diar</w:t>
      </w:r>
      <w:r w:rsidR="00D44A0D">
        <w:rPr>
          <w:rFonts w:ascii="Times New Roman" w:hAnsi="Times New Roman" w:cs="Times New Roman"/>
        </w:rPr>
        <w:t>io Oficial de la Federación,</w:t>
      </w:r>
      <w:r w:rsidR="00921486" w:rsidRPr="003D2268">
        <w:rPr>
          <w:rFonts w:ascii="Times New Roman" w:hAnsi="Times New Roman" w:cs="Times New Roman"/>
        </w:rPr>
        <w:t xml:space="preserve"> 20</w:t>
      </w:r>
      <w:r w:rsidRPr="003D2268">
        <w:rPr>
          <w:rFonts w:ascii="Times New Roman" w:hAnsi="Times New Roman" w:cs="Times New Roman"/>
        </w:rPr>
        <w:t>0</w:t>
      </w:r>
      <w:r w:rsidR="00921486" w:rsidRPr="003D2268">
        <w:rPr>
          <w:rFonts w:ascii="Times New Roman" w:hAnsi="Times New Roman" w:cs="Times New Roman"/>
        </w:rPr>
        <w:t>2</w:t>
      </w:r>
      <w:r w:rsidRPr="003D2268">
        <w:rPr>
          <w:rFonts w:ascii="Times New Roman" w:hAnsi="Times New Roman" w:cs="Times New Roman"/>
        </w:rPr>
        <w:t xml:space="preserve">. </w:t>
      </w:r>
      <w:r w:rsidR="005B6E55" w:rsidRPr="003D2268">
        <w:rPr>
          <w:rFonts w:ascii="Times New Roman" w:hAnsi="Times New Roman" w:cs="Times New Roman"/>
        </w:rPr>
        <w:t>Disponible</w:t>
      </w:r>
      <w:r w:rsidR="00605185" w:rsidRPr="003D2268">
        <w:rPr>
          <w:rFonts w:ascii="Times New Roman" w:hAnsi="Times New Roman" w:cs="Times New Roman"/>
        </w:rPr>
        <w:t xml:space="preserve"> en:</w:t>
      </w:r>
      <w:r w:rsidR="00702070" w:rsidRPr="003D2268">
        <w:rPr>
          <w:rFonts w:ascii="Times New Roman" w:hAnsi="Times New Roman" w:cs="Times New Roman"/>
        </w:rPr>
        <w:t xml:space="preserve"> </w:t>
      </w:r>
      <w:hyperlink r:id="rId40" w:history="1">
        <w:r w:rsidR="00702070" w:rsidRPr="003D2268">
          <w:rPr>
            <w:rStyle w:val="Hipervnculo"/>
          </w:rPr>
          <w:t>https://www.diputados.gob.mx/servicios/datorele/cmprtvs/2PO2/MARZO/123const.htm</w:t>
        </w:r>
      </w:hyperlink>
    </w:p>
    <w:p w14:paraId="52D787EA" w14:textId="5D28800D" w:rsidR="00711B6D" w:rsidRPr="003D2268" w:rsidRDefault="00711B6D" w:rsidP="00711B6D">
      <w:pPr>
        <w:rPr>
          <w:rFonts w:ascii="Times New Roman" w:hAnsi="Times New Roman" w:cs="Times New Roman"/>
        </w:rPr>
      </w:pPr>
      <w:r w:rsidRPr="003D2268">
        <w:rPr>
          <w:rFonts w:ascii="Times New Roman" w:hAnsi="Times New Roman" w:cs="Times New Roman"/>
        </w:rPr>
        <w:t>13.</w:t>
      </w:r>
      <w:r w:rsidRPr="003D2268">
        <w:rPr>
          <w:rFonts w:ascii="Times New Roman" w:hAnsi="Times New Roman" w:cs="Times New Roman"/>
        </w:rPr>
        <w:tab/>
      </w:r>
      <w:r w:rsidR="00860736" w:rsidRPr="003D2268">
        <w:rPr>
          <w:rFonts w:ascii="Times New Roman" w:hAnsi="Times New Roman" w:cs="Times New Roman"/>
        </w:rPr>
        <w:t>C</w:t>
      </w:r>
      <w:r w:rsidR="004B56D0" w:rsidRPr="003D2268">
        <w:rPr>
          <w:rFonts w:ascii="Times New Roman" w:hAnsi="Times New Roman" w:cs="Times New Roman"/>
        </w:rPr>
        <w:t>entro de Estudios para el Desarrollo Rural S</w:t>
      </w:r>
      <w:r w:rsidR="00860736" w:rsidRPr="003D2268">
        <w:rPr>
          <w:rFonts w:ascii="Times New Roman" w:hAnsi="Times New Roman" w:cs="Times New Roman"/>
        </w:rPr>
        <w:t xml:space="preserve">ustentable y </w:t>
      </w:r>
      <w:r w:rsidR="004B56D0" w:rsidRPr="003D2268">
        <w:rPr>
          <w:rFonts w:ascii="Times New Roman" w:hAnsi="Times New Roman" w:cs="Times New Roman"/>
        </w:rPr>
        <w:t>S</w:t>
      </w:r>
      <w:r w:rsidR="00860736" w:rsidRPr="003D2268">
        <w:rPr>
          <w:rFonts w:ascii="Times New Roman" w:hAnsi="Times New Roman" w:cs="Times New Roman"/>
        </w:rPr>
        <w:t>oberan</w:t>
      </w:r>
      <w:r w:rsidR="004B56D0" w:rsidRPr="003D2268">
        <w:rPr>
          <w:rFonts w:ascii="Times New Roman" w:hAnsi="Times New Roman" w:cs="Times New Roman"/>
        </w:rPr>
        <w:t>ía A</w:t>
      </w:r>
      <w:r w:rsidR="00860736" w:rsidRPr="003D2268">
        <w:rPr>
          <w:rFonts w:ascii="Times New Roman" w:hAnsi="Times New Roman" w:cs="Times New Roman"/>
        </w:rPr>
        <w:t>limentaria (CEDRSSA)</w:t>
      </w:r>
      <w:r w:rsidRPr="003D2268">
        <w:rPr>
          <w:rFonts w:ascii="Times New Roman" w:hAnsi="Times New Roman" w:cs="Times New Roman"/>
        </w:rPr>
        <w:t>. Consumo de alimentos.</w:t>
      </w:r>
      <w:r w:rsidR="00A84814" w:rsidRPr="003D2268">
        <w:rPr>
          <w:rFonts w:ascii="Times New Roman" w:hAnsi="Times New Roman" w:cs="Times New Roman"/>
        </w:rPr>
        <w:t xml:space="preserve"> </w:t>
      </w:r>
      <w:r w:rsidR="00A84814" w:rsidRPr="003D2268">
        <w:t>La Encuesta Nacional de Ingresos y Gastos de los Hogares (ENIGH).</w:t>
      </w:r>
      <w:r w:rsidRPr="003D2268">
        <w:rPr>
          <w:rFonts w:ascii="Times New Roman" w:hAnsi="Times New Roman" w:cs="Times New Roman"/>
        </w:rPr>
        <w:t xml:space="preserve"> </w:t>
      </w:r>
      <w:r w:rsidR="004B56D0" w:rsidRPr="003D2268">
        <w:rPr>
          <w:rFonts w:ascii="Times New Roman" w:hAnsi="Times New Roman" w:cs="Times New Roman"/>
        </w:rPr>
        <w:t>Plació Legislativo de San Lázaro</w:t>
      </w:r>
      <w:r w:rsidR="005B6E55" w:rsidRPr="003D2268">
        <w:rPr>
          <w:rFonts w:ascii="Times New Roman" w:hAnsi="Times New Roman" w:cs="Times New Roman"/>
        </w:rPr>
        <w:t>,</w:t>
      </w:r>
      <w:r w:rsidR="00A84814" w:rsidRPr="003D2268">
        <w:rPr>
          <w:rFonts w:ascii="Times New Roman" w:hAnsi="Times New Roman" w:cs="Times New Roman"/>
        </w:rPr>
        <w:t xml:space="preserve"> 2018</w:t>
      </w:r>
      <w:r w:rsidRPr="003D2268">
        <w:rPr>
          <w:rFonts w:ascii="Times New Roman" w:hAnsi="Times New Roman" w:cs="Times New Roman"/>
        </w:rPr>
        <w:t>:</w:t>
      </w:r>
      <w:r w:rsidR="00FB5B9C" w:rsidRPr="003D2268">
        <w:rPr>
          <w:rFonts w:ascii="Times New Roman" w:hAnsi="Times New Roman" w:cs="Times New Roman"/>
        </w:rPr>
        <w:t xml:space="preserve"> </w:t>
      </w:r>
      <w:r w:rsidRPr="003D2268">
        <w:rPr>
          <w:rFonts w:ascii="Times New Roman" w:hAnsi="Times New Roman" w:cs="Times New Roman"/>
        </w:rPr>
        <w:t xml:space="preserve">1-19. </w:t>
      </w:r>
      <w:r w:rsidR="005B6E55" w:rsidRPr="003D2268">
        <w:rPr>
          <w:rFonts w:ascii="Times New Roman" w:hAnsi="Times New Roman" w:cs="Times New Roman"/>
        </w:rPr>
        <w:t xml:space="preserve">Disponible en: </w:t>
      </w:r>
      <w:hyperlink r:id="rId41" w:history="1">
        <w:r w:rsidRPr="003D2268">
          <w:rPr>
            <w:rStyle w:val="Hipervnculo"/>
            <w:rFonts w:ascii="Times New Roman" w:hAnsi="Times New Roman" w:cs="Times New Roman"/>
          </w:rPr>
          <w:t>http://www.cedrssa.gob.mx/files/b/13/74ENIGH2018-Investigaci%C3%B3n.pdf</w:t>
        </w:r>
      </w:hyperlink>
    </w:p>
    <w:p w14:paraId="7AD39BE6" w14:textId="24C6D713" w:rsidR="00711B6D" w:rsidRPr="003D2268" w:rsidRDefault="00711B6D" w:rsidP="00711B6D">
      <w:pPr>
        <w:rPr>
          <w:rFonts w:ascii="Times New Roman" w:hAnsi="Times New Roman" w:cs="Times New Roman"/>
        </w:rPr>
      </w:pPr>
      <w:r w:rsidRPr="003D2268">
        <w:rPr>
          <w:rFonts w:ascii="Times New Roman" w:hAnsi="Times New Roman" w:cs="Times New Roman"/>
        </w:rPr>
        <w:t>14.</w:t>
      </w:r>
      <w:r w:rsidRPr="003D2268">
        <w:rPr>
          <w:rFonts w:ascii="Times New Roman" w:hAnsi="Times New Roman" w:cs="Times New Roman"/>
        </w:rPr>
        <w:tab/>
        <w:t>S</w:t>
      </w:r>
      <w:r w:rsidR="00582175" w:rsidRPr="003D2268">
        <w:rPr>
          <w:rFonts w:ascii="Times New Roman" w:hAnsi="Times New Roman" w:cs="Times New Roman"/>
        </w:rPr>
        <w:t>ecretaría de Gobernación</w:t>
      </w:r>
      <w:r w:rsidRPr="003D2268">
        <w:rPr>
          <w:rFonts w:ascii="Times New Roman" w:hAnsi="Times New Roman" w:cs="Times New Roman"/>
        </w:rPr>
        <w:t xml:space="preserve">. Plan Nacional de Desarrollo 2001–2006. </w:t>
      </w:r>
      <w:r w:rsidR="005B6E55" w:rsidRPr="003D2268">
        <w:rPr>
          <w:rFonts w:ascii="Times New Roman" w:hAnsi="Times New Roman" w:cs="Times New Roman"/>
        </w:rPr>
        <w:t>Diario Oficial de la Federación,</w:t>
      </w:r>
      <w:r w:rsidRPr="003D2268">
        <w:rPr>
          <w:rFonts w:ascii="Times New Roman" w:hAnsi="Times New Roman" w:cs="Times New Roman"/>
        </w:rPr>
        <w:t xml:space="preserve"> 2001:</w:t>
      </w:r>
      <w:r w:rsidR="00FB5B9C" w:rsidRPr="003D2268">
        <w:rPr>
          <w:rFonts w:ascii="Times New Roman" w:hAnsi="Times New Roman" w:cs="Times New Roman"/>
        </w:rPr>
        <w:t xml:space="preserve"> </w:t>
      </w:r>
      <w:r w:rsidRPr="003D2268">
        <w:rPr>
          <w:rFonts w:ascii="Times New Roman" w:hAnsi="Times New Roman" w:cs="Times New Roman"/>
        </w:rPr>
        <w:t>2-126.</w:t>
      </w:r>
      <w:r w:rsidR="005B6E55" w:rsidRPr="003D2268">
        <w:rPr>
          <w:rFonts w:ascii="Times New Roman" w:hAnsi="Times New Roman" w:cs="Times New Roman"/>
        </w:rPr>
        <w:t xml:space="preserve"> Disponible en: </w:t>
      </w:r>
      <w:hyperlink r:id="rId42" w:history="1">
        <w:r w:rsidRPr="003D2268">
          <w:rPr>
            <w:rStyle w:val="Hipervnculo"/>
            <w:rFonts w:ascii="Times New Roman" w:hAnsi="Times New Roman" w:cs="Times New Roman"/>
          </w:rPr>
          <w:t>http://www.diputados.gob.mx/LeyesBiblio/compila/pnd.htm</w:t>
        </w:r>
      </w:hyperlink>
    </w:p>
    <w:p w14:paraId="2310B8F9" w14:textId="6D4B0059" w:rsidR="00711B6D" w:rsidRPr="003D2268" w:rsidRDefault="00711B6D" w:rsidP="00711B6D">
      <w:pPr>
        <w:rPr>
          <w:rFonts w:ascii="Times New Roman" w:hAnsi="Times New Roman" w:cs="Times New Roman"/>
        </w:rPr>
      </w:pPr>
      <w:r w:rsidRPr="003D2268">
        <w:rPr>
          <w:rFonts w:ascii="Times New Roman" w:hAnsi="Times New Roman" w:cs="Times New Roman"/>
        </w:rPr>
        <w:t>15.</w:t>
      </w:r>
      <w:r w:rsidRPr="003D2268">
        <w:rPr>
          <w:rFonts w:ascii="Times New Roman" w:hAnsi="Times New Roman" w:cs="Times New Roman"/>
        </w:rPr>
        <w:tab/>
        <w:t>S</w:t>
      </w:r>
      <w:r w:rsidR="00582175" w:rsidRPr="003D2268">
        <w:rPr>
          <w:rFonts w:ascii="Times New Roman" w:hAnsi="Times New Roman" w:cs="Times New Roman"/>
        </w:rPr>
        <w:t>ecretaría de Gobernación</w:t>
      </w:r>
      <w:r w:rsidRPr="003D2268">
        <w:rPr>
          <w:rFonts w:ascii="Times New Roman" w:hAnsi="Times New Roman" w:cs="Times New Roman"/>
        </w:rPr>
        <w:t>. P</w:t>
      </w:r>
      <w:r w:rsidR="005B6E55" w:rsidRPr="003D2268">
        <w:rPr>
          <w:rFonts w:ascii="Times New Roman" w:hAnsi="Times New Roman" w:cs="Times New Roman"/>
        </w:rPr>
        <w:t>lan Nacional de Desarrollo 2007–2012</w:t>
      </w:r>
      <w:r w:rsidRPr="003D2268">
        <w:rPr>
          <w:rFonts w:ascii="Times New Roman" w:hAnsi="Times New Roman" w:cs="Times New Roman"/>
        </w:rPr>
        <w:t xml:space="preserve">. </w:t>
      </w:r>
      <w:r w:rsidR="005B6E55" w:rsidRPr="003D2268">
        <w:rPr>
          <w:rFonts w:ascii="Times New Roman" w:hAnsi="Times New Roman" w:cs="Times New Roman"/>
        </w:rPr>
        <w:t>Diario Oficial de la Federación,</w:t>
      </w:r>
      <w:r w:rsidRPr="003D2268">
        <w:rPr>
          <w:rFonts w:ascii="Times New Roman" w:hAnsi="Times New Roman" w:cs="Times New Roman"/>
        </w:rPr>
        <w:t xml:space="preserve"> 2007:</w:t>
      </w:r>
      <w:r w:rsidR="00937FAD" w:rsidRPr="003D2268">
        <w:rPr>
          <w:rFonts w:ascii="Times New Roman" w:hAnsi="Times New Roman" w:cs="Times New Roman"/>
        </w:rPr>
        <w:t xml:space="preserve"> </w:t>
      </w:r>
      <w:r w:rsidRPr="003D2268">
        <w:rPr>
          <w:rFonts w:ascii="Times New Roman" w:hAnsi="Times New Roman" w:cs="Times New Roman"/>
        </w:rPr>
        <w:t>2-128.</w:t>
      </w:r>
      <w:r w:rsidR="005B6E55"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43" w:history="1">
        <w:r w:rsidRPr="003D2268">
          <w:rPr>
            <w:rStyle w:val="Hipervnculo"/>
            <w:rFonts w:ascii="Times New Roman" w:hAnsi="Times New Roman" w:cs="Times New Roman"/>
          </w:rPr>
          <w:t>http://www.diputados.gob.mx/LeyesBiblio/compila/pnd.htm</w:t>
        </w:r>
      </w:hyperlink>
    </w:p>
    <w:p w14:paraId="5394EA05" w14:textId="72D6E5BD" w:rsidR="00711B6D" w:rsidRPr="003D2268" w:rsidRDefault="00582175" w:rsidP="00711B6D">
      <w:pPr>
        <w:rPr>
          <w:rFonts w:ascii="Times New Roman" w:hAnsi="Times New Roman" w:cs="Times New Roman"/>
        </w:rPr>
      </w:pPr>
      <w:r w:rsidRPr="003D2268">
        <w:rPr>
          <w:rFonts w:ascii="Times New Roman" w:hAnsi="Times New Roman" w:cs="Times New Roman"/>
        </w:rPr>
        <w:t>16.</w:t>
      </w:r>
      <w:r w:rsidRPr="003D2268">
        <w:rPr>
          <w:rFonts w:ascii="Times New Roman" w:hAnsi="Times New Roman" w:cs="Times New Roman"/>
        </w:rPr>
        <w:tab/>
        <w:t>Secretaría de Salud</w:t>
      </w:r>
      <w:r w:rsidR="00711B6D" w:rsidRPr="003D2268">
        <w:rPr>
          <w:rFonts w:ascii="Times New Roman" w:hAnsi="Times New Roman" w:cs="Times New Roman"/>
        </w:rPr>
        <w:t xml:space="preserve">. </w:t>
      </w:r>
      <w:r w:rsidR="00AF4757" w:rsidRPr="003D2268">
        <w:rPr>
          <w:rFonts w:ascii="Times New Roman" w:hAnsi="Times New Roman" w:cs="Times New Roman"/>
        </w:rPr>
        <w:t>Programa Nacional de Salud</w:t>
      </w:r>
      <w:r w:rsidR="00711B6D" w:rsidRPr="003D2268">
        <w:rPr>
          <w:rFonts w:ascii="Times New Roman" w:hAnsi="Times New Roman" w:cs="Times New Roman"/>
        </w:rPr>
        <w:t xml:space="preserve"> 1996–2000. </w:t>
      </w:r>
      <w:r w:rsidR="00AF4757" w:rsidRPr="003D2268">
        <w:rPr>
          <w:rFonts w:ascii="Times New Roman" w:hAnsi="Times New Roman" w:cs="Times New Roman"/>
        </w:rPr>
        <w:t>Diario Oficial de la Federación,</w:t>
      </w:r>
      <w:r w:rsidR="00711B6D" w:rsidRPr="003D2268">
        <w:rPr>
          <w:rFonts w:ascii="Times New Roman" w:hAnsi="Times New Roman" w:cs="Times New Roman"/>
        </w:rPr>
        <w:t xml:space="preserve"> 1996:</w:t>
      </w:r>
      <w:r w:rsidR="00AF4757" w:rsidRPr="003D2268">
        <w:rPr>
          <w:rFonts w:ascii="Times New Roman" w:hAnsi="Times New Roman" w:cs="Times New Roman"/>
        </w:rPr>
        <w:t xml:space="preserve"> </w:t>
      </w:r>
      <w:r w:rsidR="00711B6D" w:rsidRPr="003D2268">
        <w:rPr>
          <w:rFonts w:ascii="Times New Roman" w:hAnsi="Times New Roman" w:cs="Times New Roman"/>
        </w:rPr>
        <w:t>1-43.</w:t>
      </w:r>
      <w:r w:rsidR="00AF4757"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44" w:history="1">
        <w:r w:rsidR="00711B6D" w:rsidRPr="003D2268">
          <w:rPr>
            <w:rStyle w:val="Hipervnculo"/>
            <w:rFonts w:ascii="Times New Roman" w:hAnsi="Times New Roman" w:cs="Times New Roman"/>
          </w:rPr>
          <w:t>http://www.dof.gob.mx/nota_detalle.php?codigo=4875243&amp;fecha=11/03/1996</w:t>
        </w:r>
      </w:hyperlink>
    </w:p>
    <w:p w14:paraId="12E29930" w14:textId="17203D6D" w:rsidR="00711B6D" w:rsidRPr="003D2268" w:rsidRDefault="00711B6D" w:rsidP="00711B6D">
      <w:pPr>
        <w:rPr>
          <w:rFonts w:ascii="Times New Roman" w:hAnsi="Times New Roman" w:cs="Times New Roman"/>
        </w:rPr>
      </w:pPr>
      <w:r w:rsidRPr="003D2268">
        <w:rPr>
          <w:rFonts w:ascii="Times New Roman" w:hAnsi="Times New Roman" w:cs="Times New Roman"/>
        </w:rPr>
        <w:t>17.</w:t>
      </w:r>
      <w:r w:rsidRPr="003D2268">
        <w:rPr>
          <w:rFonts w:ascii="Times New Roman" w:hAnsi="Times New Roman" w:cs="Times New Roman"/>
        </w:rPr>
        <w:tab/>
        <w:t>S</w:t>
      </w:r>
      <w:r w:rsidR="001B44AC" w:rsidRPr="003D2268">
        <w:rPr>
          <w:rFonts w:ascii="Times New Roman" w:hAnsi="Times New Roman" w:cs="Times New Roman"/>
        </w:rPr>
        <w:t>ecretaría de Gobernación</w:t>
      </w:r>
      <w:r w:rsidRPr="003D2268">
        <w:rPr>
          <w:rFonts w:ascii="Times New Roman" w:hAnsi="Times New Roman" w:cs="Times New Roman"/>
        </w:rPr>
        <w:t>. Pl</w:t>
      </w:r>
      <w:r w:rsidR="00AF4757" w:rsidRPr="003D2268">
        <w:rPr>
          <w:rFonts w:ascii="Times New Roman" w:hAnsi="Times New Roman" w:cs="Times New Roman"/>
        </w:rPr>
        <w:t>an Nacional de Desarrollo 2013-2018</w:t>
      </w:r>
      <w:r w:rsidRPr="003D2268">
        <w:rPr>
          <w:rFonts w:ascii="Times New Roman" w:hAnsi="Times New Roman" w:cs="Times New Roman"/>
        </w:rPr>
        <w:t>. Diario Oficial de la Federación. 2013:</w:t>
      </w:r>
      <w:r w:rsidR="00AF4757" w:rsidRPr="003D2268">
        <w:rPr>
          <w:rFonts w:ascii="Times New Roman" w:hAnsi="Times New Roman" w:cs="Times New Roman"/>
        </w:rPr>
        <w:t xml:space="preserve"> </w:t>
      </w:r>
      <w:r w:rsidRPr="003D2268">
        <w:rPr>
          <w:rFonts w:ascii="Times New Roman" w:hAnsi="Times New Roman" w:cs="Times New Roman"/>
        </w:rPr>
        <w:t>3-128.</w:t>
      </w:r>
      <w:r w:rsidR="001B44AC" w:rsidRPr="003D2268">
        <w:rPr>
          <w:rFonts w:ascii="Times New Roman" w:hAnsi="Times New Roman" w:cs="Times New Roman"/>
        </w:rPr>
        <w:t xml:space="preserve"> Disponible en: </w:t>
      </w:r>
      <w:hyperlink r:id="rId45" w:history="1">
        <w:r w:rsidRPr="003D2268">
          <w:rPr>
            <w:rStyle w:val="Hipervnculo"/>
            <w:rFonts w:ascii="Times New Roman" w:hAnsi="Times New Roman" w:cs="Times New Roman"/>
          </w:rPr>
          <w:t>http://www.diputados.gob.mx/LeyesBiblio/compila/pnd.htm</w:t>
        </w:r>
      </w:hyperlink>
    </w:p>
    <w:p w14:paraId="1A1B71F9" w14:textId="34D6202E" w:rsidR="00711B6D" w:rsidRPr="003D2268" w:rsidRDefault="00711B6D" w:rsidP="00711B6D">
      <w:pPr>
        <w:rPr>
          <w:rFonts w:ascii="Times New Roman" w:hAnsi="Times New Roman" w:cs="Times New Roman"/>
        </w:rPr>
      </w:pPr>
      <w:r w:rsidRPr="003D2268">
        <w:rPr>
          <w:rFonts w:ascii="Times New Roman" w:hAnsi="Times New Roman" w:cs="Times New Roman"/>
        </w:rPr>
        <w:lastRenderedPageBreak/>
        <w:t>18.</w:t>
      </w:r>
      <w:r w:rsidRPr="003D2268">
        <w:rPr>
          <w:rFonts w:ascii="Times New Roman" w:hAnsi="Times New Roman" w:cs="Times New Roman"/>
        </w:rPr>
        <w:tab/>
        <w:t xml:space="preserve">Instituto Nacional de Estadística y Geografía (INEGI). Encuesta de Ingresos y Gastos de los Hogares (ENIGH) 2018. </w:t>
      </w:r>
      <w:r w:rsidR="001D689D" w:rsidRPr="003D2268">
        <w:rPr>
          <w:rFonts w:ascii="Times New Roman" w:hAnsi="Times New Roman" w:cs="Times New Roman"/>
        </w:rPr>
        <w:t>Instituto Nacional de Estadística y Geografía</w:t>
      </w:r>
      <w:r w:rsidRPr="003D2268">
        <w:rPr>
          <w:rFonts w:ascii="Times New Roman" w:hAnsi="Times New Roman" w:cs="Times New Roman"/>
        </w:rPr>
        <w:t>, 2019:</w:t>
      </w:r>
      <w:r w:rsidR="001D689D" w:rsidRPr="003D2268">
        <w:rPr>
          <w:rFonts w:ascii="Times New Roman" w:hAnsi="Times New Roman" w:cs="Times New Roman"/>
        </w:rPr>
        <w:t xml:space="preserve"> 1-</w:t>
      </w:r>
      <w:r w:rsidRPr="003D2268">
        <w:rPr>
          <w:rFonts w:ascii="Times New Roman" w:hAnsi="Times New Roman" w:cs="Times New Roman"/>
        </w:rPr>
        <w:t>35.</w:t>
      </w:r>
      <w:r w:rsidR="001D689D"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46" w:history="1">
        <w:r w:rsidRPr="003D2268">
          <w:rPr>
            <w:rStyle w:val="Hipervnculo"/>
            <w:rFonts w:ascii="Times New Roman" w:hAnsi="Times New Roman" w:cs="Times New Roman"/>
          </w:rPr>
          <w:t>https://elsoberano.mx/wp-content/uploads/2019/07/INEGI.pdf</w:t>
        </w:r>
      </w:hyperlink>
    </w:p>
    <w:p w14:paraId="29F02564" w14:textId="31BB6EA3" w:rsidR="00711B6D" w:rsidRPr="003D2268" w:rsidRDefault="00711B6D" w:rsidP="00711B6D">
      <w:pPr>
        <w:rPr>
          <w:rFonts w:ascii="Times New Roman" w:hAnsi="Times New Roman" w:cs="Times New Roman"/>
        </w:rPr>
      </w:pPr>
      <w:r w:rsidRPr="003D2268">
        <w:rPr>
          <w:rFonts w:ascii="Times New Roman" w:hAnsi="Times New Roman" w:cs="Times New Roman"/>
        </w:rPr>
        <w:t>19.</w:t>
      </w:r>
      <w:r w:rsidRPr="003D2268">
        <w:rPr>
          <w:rFonts w:ascii="Times New Roman" w:hAnsi="Times New Roman" w:cs="Times New Roman"/>
        </w:rPr>
        <w:tab/>
        <w:t>Dirección General de Planeación, Programación y Estadística Educativa (DGPPEE). Principales Cifras del Sistema Educativo Nacional 2018-2019.</w:t>
      </w:r>
      <w:r w:rsidR="004F57D8" w:rsidRPr="003D2268">
        <w:rPr>
          <w:rFonts w:ascii="Times New Roman" w:hAnsi="Times New Roman" w:cs="Times New Roman"/>
        </w:rPr>
        <w:t xml:space="preserve"> Secretaría de Educación Pública</w:t>
      </w:r>
      <w:r w:rsidR="00561F00" w:rsidRPr="003D2268">
        <w:rPr>
          <w:rFonts w:ascii="Times New Roman" w:hAnsi="Times New Roman" w:cs="Times New Roman"/>
        </w:rPr>
        <w:t>,</w:t>
      </w:r>
      <w:r w:rsidRPr="003D2268">
        <w:rPr>
          <w:rFonts w:ascii="Times New Roman" w:hAnsi="Times New Roman" w:cs="Times New Roman"/>
        </w:rPr>
        <w:t xml:space="preserve"> 2019:</w:t>
      </w:r>
      <w:r w:rsidR="001B44AC" w:rsidRPr="003D2268">
        <w:rPr>
          <w:rFonts w:ascii="Times New Roman" w:hAnsi="Times New Roman" w:cs="Times New Roman"/>
        </w:rPr>
        <w:t xml:space="preserve"> </w:t>
      </w:r>
      <w:r w:rsidRPr="003D2268">
        <w:rPr>
          <w:rFonts w:ascii="Times New Roman" w:hAnsi="Times New Roman" w:cs="Times New Roman"/>
        </w:rPr>
        <w:t xml:space="preserve">1-130. </w:t>
      </w:r>
      <w:r w:rsidR="004F57D8" w:rsidRPr="003D2268">
        <w:rPr>
          <w:rFonts w:ascii="Times New Roman" w:hAnsi="Times New Roman" w:cs="Times New Roman"/>
        </w:rPr>
        <w:t xml:space="preserve">Disponible en: </w:t>
      </w:r>
      <w:hyperlink r:id="rId47" w:history="1">
        <w:r w:rsidRPr="003D2268">
          <w:rPr>
            <w:rStyle w:val="Hipervnculo"/>
            <w:rFonts w:ascii="Times New Roman" w:hAnsi="Times New Roman" w:cs="Times New Roman"/>
          </w:rPr>
          <w:t>https://www.planeacion.sep.gob.mx/Doc/estadistica_e_indicadores/principales_cifras/principales_cifras_2018_2019_bolsillo.pdf</w:t>
        </w:r>
      </w:hyperlink>
    </w:p>
    <w:p w14:paraId="7CD72F30" w14:textId="2A8E98C7" w:rsidR="00711B6D" w:rsidRPr="003D2268" w:rsidRDefault="00561F00" w:rsidP="00711B6D">
      <w:pPr>
        <w:rPr>
          <w:rFonts w:ascii="Times New Roman" w:hAnsi="Times New Roman" w:cs="Times New Roman"/>
        </w:rPr>
      </w:pPr>
      <w:r w:rsidRPr="003D2268">
        <w:rPr>
          <w:rFonts w:ascii="Times New Roman" w:hAnsi="Times New Roman" w:cs="Times New Roman"/>
        </w:rPr>
        <w:t>20.</w:t>
      </w:r>
      <w:r w:rsidRPr="003D2268">
        <w:rPr>
          <w:rFonts w:ascii="Times New Roman" w:hAnsi="Times New Roman" w:cs="Times New Roman"/>
        </w:rPr>
        <w:tab/>
        <w:t>Consejo Nacional de Evaluación de la P</w:t>
      </w:r>
      <w:r w:rsidR="00711B6D" w:rsidRPr="003D2268">
        <w:rPr>
          <w:rFonts w:ascii="Times New Roman" w:hAnsi="Times New Roman" w:cs="Times New Roman"/>
        </w:rPr>
        <w:t>olítica de Desarrollo Social. Medición de la pobreza. Glosario.</w:t>
      </w:r>
      <w:r w:rsidRPr="003D2268">
        <w:rPr>
          <w:rFonts w:ascii="Times New Roman" w:hAnsi="Times New Roman" w:cs="Times New Roman"/>
        </w:rPr>
        <w:t xml:space="preserve"> Consejo Nacional de Evaluación de la Política de Desarrollo Social,</w:t>
      </w:r>
      <w:r w:rsidR="00711B6D" w:rsidRPr="003D2268">
        <w:rPr>
          <w:rFonts w:ascii="Times New Roman" w:hAnsi="Times New Roman" w:cs="Times New Roman"/>
        </w:rPr>
        <w:t xml:space="preserve"> 2020. </w:t>
      </w:r>
      <w:r w:rsidR="001B0AC6" w:rsidRPr="003D2268">
        <w:rPr>
          <w:rFonts w:ascii="Times New Roman" w:hAnsi="Times New Roman" w:cs="Times New Roman"/>
        </w:rPr>
        <w:t xml:space="preserve">Disponible en: </w:t>
      </w:r>
      <w:hyperlink r:id="rId48" w:history="1">
        <w:r w:rsidR="00711B6D" w:rsidRPr="003D2268">
          <w:rPr>
            <w:rStyle w:val="Hipervnculo"/>
            <w:rFonts w:ascii="Times New Roman" w:hAnsi="Times New Roman" w:cs="Times New Roman"/>
          </w:rPr>
          <w:t>https://www.coneval.org.mx/Medicion/Paginas/Glosario.aspx</w:t>
        </w:r>
      </w:hyperlink>
    </w:p>
    <w:p w14:paraId="663A37AD" w14:textId="79BC3DCE" w:rsidR="00711B6D" w:rsidRPr="003D2268" w:rsidRDefault="00711B6D" w:rsidP="00711B6D">
      <w:pPr>
        <w:rPr>
          <w:rFonts w:ascii="Times New Roman" w:hAnsi="Times New Roman" w:cs="Times New Roman"/>
        </w:rPr>
      </w:pPr>
      <w:r w:rsidRPr="003D2268">
        <w:rPr>
          <w:rFonts w:ascii="Times New Roman" w:hAnsi="Times New Roman" w:cs="Times New Roman"/>
        </w:rPr>
        <w:t>21.</w:t>
      </w:r>
      <w:r w:rsidRPr="003D2268">
        <w:rPr>
          <w:rFonts w:ascii="Times New Roman" w:hAnsi="Times New Roman" w:cs="Times New Roman"/>
        </w:rPr>
        <w:tab/>
        <w:t>Consejo Nacional de Evaluación de la Política de Desarrollo Social</w:t>
      </w:r>
      <w:r w:rsidR="00F31627" w:rsidRPr="003D2268">
        <w:rPr>
          <w:rFonts w:ascii="Times New Roman" w:hAnsi="Times New Roman" w:cs="Times New Roman"/>
        </w:rPr>
        <w:t>. M</w:t>
      </w:r>
      <w:r w:rsidRPr="003D2268">
        <w:rPr>
          <w:rFonts w:ascii="Times New Roman" w:hAnsi="Times New Roman" w:cs="Times New Roman"/>
        </w:rPr>
        <w:t xml:space="preserve">edición de la pobreza. </w:t>
      </w:r>
      <w:r w:rsidR="006D4FCA" w:rsidRPr="003D2268">
        <w:rPr>
          <w:rFonts w:ascii="Times New Roman" w:hAnsi="Times New Roman" w:cs="Times New Roman"/>
        </w:rPr>
        <w:t xml:space="preserve">Pobreza en </w:t>
      </w:r>
      <w:r w:rsidR="001C603F" w:rsidRPr="003D2268">
        <w:rPr>
          <w:rFonts w:ascii="Times New Roman" w:hAnsi="Times New Roman" w:cs="Times New Roman"/>
        </w:rPr>
        <w:t>México. ​</w:t>
      </w:r>
      <w:r w:rsidR="006D4FCA" w:rsidRPr="003D2268">
        <w:rPr>
          <w:rFonts w:ascii="Times New Roman" w:hAnsi="Times New Roman" w:cs="Times New Roman"/>
        </w:rPr>
        <w:t xml:space="preserve"> Consejo Nacional de Evaluación de la Política de Desarrollo Social, 2018</w:t>
      </w:r>
      <w:r w:rsidRPr="003D2268">
        <w:rPr>
          <w:rFonts w:ascii="Times New Roman" w:hAnsi="Times New Roman" w:cs="Times New Roman"/>
        </w:rPr>
        <w:t>.</w:t>
      </w:r>
      <w:r w:rsidR="001B0AC6"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49" w:history="1">
        <w:r w:rsidRPr="003D2268">
          <w:rPr>
            <w:rStyle w:val="Hipervnculo"/>
            <w:rFonts w:ascii="Times New Roman" w:hAnsi="Times New Roman" w:cs="Times New Roman"/>
          </w:rPr>
          <w:t>https://www.coneval.org.mx/Medicion/MP/Paginas/Pobreza-2018.aspx</w:t>
        </w:r>
      </w:hyperlink>
    </w:p>
    <w:p w14:paraId="6276CFC5" w14:textId="222E0B01" w:rsidR="00711B6D" w:rsidRPr="003D2268" w:rsidRDefault="00711B6D" w:rsidP="00711B6D">
      <w:pPr>
        <w:rPr>
          <w:rFonts w:ascii="Times New Roman" w:hAnsi="Times New Roman" w:cs="Times New Roman"/>
        </w:rPr>
      </w:pPr>
      <w:r w:rsidRPr="003D2268">
        <w:rPr>
          <w:rFonts w:ascii="Times New Roman" w:hAnsi="Times New Roman" w:cs="Times New Roman"/>
        </w:rPr>
        <w:t>22.</w:t>
      </w:r>
      <w:r w:rsidRPr="003D2268">
        <w:rPr>
          <w:rFonts w:ascii="Times New Roman" w:hAnsi="Times New Roman" w:cs="Times New Roman"/>
        </w:rPr>
        <w:tab/>
        <w:t>Reza, H. El coronavirus se ens</w:t>
      </w:r>
      <w:r w:rsidR="001C603F" w:rsidRPr="003D2268">
        <w:rPr>
          <w:rFonts w:ascii="Times New Roman" w:hAnsi="Times New Roman" w:cs="Times New Roman"/>
        </w:rPr>
        <w:t>aña con los más pobres. Milenio,</w:t>
      </w:r>
      <w:r w:rsidRPr="003D2268">
        <w:rPr>
          <w:rFonts w:ascii="Times New Roman" w:hAnsi="Times New Roman" w:cs="Times New Roman"/>
        </w:rPr>
        <w:t xml:space="preserve"> 2020. </w:t>
      </w:r>
      <w:r w:rsidR="001B0AC6" w:rsidRPr="003D2268">
        <w:rPr>
          <w:rFonts w:ascii="Times New Roman" w:hAnsi="Times New Roman" w:cs="Times New Roman"/>
        </w:rPr>
        <w:t xml:space="preserve">Disponible en: </w:t>
      </w:r>
      <w:hyperlink r:id="rId50" w:history="1">
        <w:r w:rsidRPr="003D2268">
          <w:rPr>
            <w:rStyle w:val="Hipervnculo"/>
            <w:rFonts w:ascii="Times New Roman" w:hAnsi="Times New Roman" w:cs="Times New Roman"/>
          </w:rPr>
          <w:t>https://www.milenio.com/politica/el-coronavirus-se-ensana-con-los-mas-pobres</w:t>
        </w:r>
      </w:hyperlink>
    </w:p>
    <w:p w14:paraId="030DB64D" w14:textId="6A7BC17A" w:rsidR="00711B6D" w:rsidRPr="003D2268" w:rsidRDefault="00711B6D" w:rsidP="00711B6D">
      <w:pPr>
        <w:rPr>
          <w:rFonts w:ascii="Times New Roman" w:hAnsi="Times New Roman" w:cs="Times New Roman"/>
        </w:rPr>
      </w:pPr>
      <w:r w:rsidRPr="003D2268">
        <w:rPr>
          <w:rFonts w:ascii="Times New Roman" w:hAnsi="Times New Roman" w:cs="Times New Roman"/>
        </w:rPr>
        <w:t>23.</w:t>
      </w:r>
      <w:r w:rsidRPr="003D2268">
        <w:rPr>
          <w:rFonts w:ascii="Times New Roman" w:hAnsi="Times New Roman" w:cs="Times New Roman"/>
        </w:rPr>
        <w:tab/>
        <w:t>Centro de estudios para el desarrollo rural sustentable y soberanía alimentaria (CEDRSSA). Evolución de la Producción y el Consumo de l</w:t>
      </w:r>
      <w:r w:rsidR="001C603F" w:rsidRPr="003D2268">
        <w:rPr>
          <w:rFonts w:ascii="Times New Roman" w:hAnsi="Times New Roman" w:cs="Times New Roman"/>
        </w:rPr>
        <w:t>os Alimentos en México. Plació L</w:t>
      </w:r>
      <w:r w:rsidRPr="003D2268">
        <w:rPr>
          <w:rFonts w:ascii="Times New Roman" w:hAnsi="Times New Roman" w:cs="Times New Roman"/>
        </w:rPr>
        <w:t>egislativo de San Lázaro. 2019:</w:t>
      </w:r>
      <w:r w:rsidR="001C603F" w:rsidRPr="003D2268">
        <w:rPr>
          <w:rFonts w:ascii="Times New Roman" w:hAnsi="Times New Roman" w:cs="Times New Roman"/>
        </w:rPr>
        <w:t xml:space="preserve"> </w:t>
      </w:r>
      <w:r w:rsidRPr="003D2268">
        <w:rPr>
          <w:rFonts w:ascii="Times New Roman" w:hAnsi="Times New Roman" w:cs="Times New Roman"/>
        </w:rPr>
        <w:t>1-19.</w:t>
      </w:r>
      <w:r w:rsidR="00893918"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51" w:history="1">
        <w:r w:rsidRPr="003D2268">
          <w:rPr>
            <w:rStyle w:val="Hipervnculo"/>
            <w:rFonts w:ascii="Times New Roman" w:hAnsi="Times New Roman" w:cs="Times New Roman"/>
          </w:rPr>
          <w:t>http://www.cedrssa.gob.mx/files/b/13/74ENIGH2018-Investigaci%C3%B3n.pdf</w:t>
        </w:r>
      </w:hyperlink>
    </w:p>
    <w:p w14:paraId="40175382" w14:textId="6640B44D" w:rsidR="00711B6D" w:rsidRPr="003D2268" w:rsidRDefault="00711B6D" w:rsidP="00711B6D">
      <w:pPr>
        <w:rPr>
          <w:rFonts w:ascii="Times New Roman" w:hAnsi="Times New Roman" w:cs="Times New Roman"/>
        </w:rPr>
      </w:pPr>
      <w:r w:rsidRPr="003D2268">
        <w:rPr>
          <w:rFonts w:ascii="Times New Roman" w:hAnsi="Times New Roman" w:cs="Times New Roman"/>
        </w:rPr>
        <w:t>24.</w:t>
      </w:r>
      <w:r w:rsidRPr="003D2268">
        <w:rPr>
          <w:rFonts w:ascii="Times New Roman" w:hAnsi="Times New Roman" w:cs="Times New Roman"/>
        </w:rPr>
        <w:tab/>
        <w:t>Instituto Nacional de</w:t>
      </w:r>
      <w:r w:rsidR="00191DDF">
        <w:rPr>
          <w:rFonts w:ascii="Times New Roman" w:hAnsi="Times New Roman" w:cs="Times New Roman"/>
        </w:rPr>
        <w:t xml:space="preserve"> Estadística y Geografía</w:t>
      </w:r>
      <w:r w:rsidRPr="003D2268">
        <w:rPr>
          <w:rFonts w:ascii="Times New Roman" w:hAnsi="Times New Roman" w:cs="Times New Roman"/>
        </w:rPr>
        <w:t>. Encuesta Nacional de Ingresos y Gastos de los Hogares 1998.</w:t>
      </w:r>
      <w:r w:rsidR="00BD5756" w:rsidRPr="003D2268">
        <w:rPr>
          <w:rFonts w:ascii="Times New Roman" w:hAnsi="Times New Roman" w:cs="Times New Roman"/>
        </w:rPr>
        <w:t xml:space="preserve"> Instituto Nacional de Estadística y Geografía,</w:t>
      </w:r>
      <w:r w:rsidRPr="003D2268">
        <w:rPr>
          <w:rFonts w:ascii="Times New Roman" w:hAnsi="Times New Roman" w:cs="Times New Roman"/>
        </w:rPr>
        <w:t xml:space="preserve"> </w:t>
      </w:r>
      <w:r w:rsidR="00BD5756" w:rsidRPr="003D2268">
        <w:rPr>
          <w:rFonts w:ascii="Times New Roman" w:hAnsi="Times New Roman" w:cs="Times New Roman"/>
        </w:rPr>
        <w:t>19</w:t>
      </w:r>
      <w:r w:rsidRPr="003D2268">
        <w:rPr>
          <w:rFonts w:ascii="Times New Roman" w:hAnsi="Times New Roman" w:cs="Times New Roman"/>
        </w:rPr>
        <w:t>9</w:t>
      </w:r>
      <w:r w:rsidR="00BD5756" w:rsidRPr="003D2268">
        <w:rPr>
          <w:rFonts w:ascii="Times New Roman" w:hAnsi="Times New Roman" w:cs="Times New Roman"/>
        </w:rPr>
        <w:t>8</w:t>
      </w:r>
      <w:r w:rsidR="00893918" w:rsidRPr="003D2268">
        <w:rPr>
          <w:rFonts w:ascii="Times New Roman" w:hAnsi="Times New Roman" w:cs="Times New Roman"/>
        </w:rPr>
        <w:t>.</w:t>
      </w:r>
      <w:r w:rsidRPr="003D2268">
        <w:rPr>
          <w:rFonts w:ascii="Times New Roman" w:hAnsi="Times New Roman" w:cs="Times New Roman"/>
        </w:rPr>
        <w:t xml:space="preserve"> </w:t>
      </w:r>
      <w:r w:rsidR="00893918" w:rsidRPr="003D2268">
        <w:rPr>
          <w:rFonts w:ascii="Times New Roman" w:hAnsi="Times New Roman" w:cs="Times New Roman"/>
        </w:rPr>
        <w:t xml:space="preserve">Disponible en: </w:t>
      </w:r>
      <w:hyperlink r:id="rId52" w:history="1">
        <w:r w:rsidRPr="003D2268">
          <w:rPr>
            <w:rStyle w:val="Hipervnculo"/>
            <w:rFonts w:ascii="Times New Roman" w:hAnsi="Times New Roman" w:cs="Times New Roman"/>
          </w:rPr>
          <w:t>http://bdsocial.inmujeres.gob.mx/index.php/enigh-37/17-acervo/acervo/19-encuesta-nacional-de-ingresos-y-gastos-de-los-hogares-enigh-1998</w:t>
        </w:r>
      </w:hyperlink>
    </w:p>
    <w:p w14:paraId="59EB6A29" w14:textId="293175D6" w:rsidR="00711B6D" w:rsidRPr="003D2268" w:rsidRDefault="00711B6D" w:rsidP="00711B6D">
      <w:pPr>
        <w:rPr>
          <w:rFonts w:ascii="Times New Roman" w:hAnsi="Times New Roman" w:cs="Times New Roman"/>
        </w:rPr>
      </w:pPr>
      <w:r w:rsidRPr="003D2268">
        <w:rPr>
          <w:rFonts w:ascii="Times New Roman" w:hAnsi="Times New Roman" w:cs="Times New Roman"/>
        </w:rPr>
        <w:t>25.</w:t>
      </w:r>
      <w:r w:rsidRPr="003D2268">
        <w:rPr>
          <w:rFonts w:ascii="Times New Roman" w:hAnsi="Times New Roman" w:cs="Times New Roman"/>
        </w:rPr>
        <w:tab/>
      </w:r>
      <w:proofErr w:type="spellStart"/>
      <w:r w:rsidRPr="003D2268">
        <w:rPr>
          <w:rFonts w:ascii="Times New Roman" w:hAnsi="Times New Roman" w:cs="Times New Roman"/>
        </w:rPr>
        <w:t>Laurell</w:t>
      </w:r>
      <w:proofErr w:type="spellEnd"/>
      <w:r w:rsidRPr="003D2268">
        <w:rPr>
          <w:rFonts w:ascii="Times New Roman" w:hAnsi="Times New Roman" w:cs="Times New Roman"/>
        </w:rPr>
        <w:t>, A. El estudio social del proceso salud-enfermedad en América Lat</w:t>
      </w:r>
      <w:r w:rsidR="00893918" w:rsidRPr="003D2268">
        <w:rPr>
          <w:rFonts w:ascii="Times New Roman" w:hAnsi="Times New Roman" w:cs="Times New Roman"/>
        </w:rPr>
        <w:t>ina. Cuadernos Médicos Sociales,</w:t>
      </w:r>
      <w:r w:rsidRPr="003D2268">
        <w:rPr>
          <w:rFonts w:ascii="Times New Roman" w:hAnsi="Times New Roman" w:cs="Times New Roman"/>
        </w:rPr>
        <w:t xml:space="preserve"> 1986;</w:t>
      </w:r>
      <w:r w:rsidR="00130CAB" w:rsidRPr="003D2268">
        <w:rPr>
          <w:rFonts w:ascii="Times New Roman" w:hAnsi="Times New Roman" w:cs="Times New Roman"/>
        </w:rPr>
        <w:t xml:space="preserve"> </w:t>
      </w:r>
      <w:r w:rsidRPr="003D2268">
        <w:rPr>
          <w:rFonts w:ascii="Times New Roman" w:hAnsi="Times New Roman" w:cs="Times New Roman"/>
        </w:rPr>
        <w:t>(37):</w:t>
      </w:r>
      <w:r w:rsidR="00130CAB" w:rsidRPr="003D2268">
        <w:rPr>
          <w:rFonts w:ascii="Times New Roman" w:hAnsi="Times New Roman" w:cs="Times New Roman"/>
        </w:rPr>
        <w:t xml:space="preserve"> </w:t>
      </w:r>
      <w:r w:rsidRPr="003D2268">
        <w:rPr>
          <w:rFonts w:ascii="Times New Roman" w:hAnsi="Times New Roman" w:cs="Times New Roman"/>
        </w:rPr>
        <w:t>1-10.</w:t>
      </w:r>
      <w:r w:rsidR="00893918"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53" w:history="1">
        <w:r w:rsidRPr="003D2268">
          <w:rPr>
            <w:rStyle w:val="Hipervnculo"/>
            <w:rFonts w:ascii="Times New Roman" w:hAnsi="Times New Roman" w:cs="Times New Roman"/>
          </w:rPr>
          <w:t>http://www.amr.org.ar/amr/wp-content/uploads/2015/10/n37a138.pdf</w:t>
        </w:r>
      </w:hyperlink>
    </w:p>
    <w:p w14:paraId="3FB61FA6" w14:textId="1162F7ED" w:rsidR="00711B6D" w:rsidRPr="003D2268" w:rsidRDefault="00711B6D" w:rsidP="00711B6D">
      <w:pPr>
        <w:rPr>
          <w:rFonts w:ascii="Times New Roman" w:hAnsi="Times New Roman" w:cs="Times New Roman"/>
        </w:rPr>
      </w:pPr>
      <w:r w:rsidRPr="003D2268">
        <w:rPr>
          <w:rFonts w:ascii="Times New Roman" w:hAnsi="Times New Roman" w:cs="Times New Roman"/>
        </w:rPr>
        <w:t>26.</w:t>
      </w:r>
      <w:r w:rsidRPr="003D2268">
        <w:rPr>
          <w:rFonts w:ascii="Times New Roman" w:hAnsi="Times New Roman" w:cs="Times New Roman"/>
        </w:rPr>
        <w:tab/>
        <w:t>Co</w:t>
      </w:r>
      <w:r w:rsidR="00755996" w:rsidRPr="003D2268">
        <w:rPr>
          <w:rFonts w:ascii="Times New Roman" w:hAnsi="Times New Roman" w:cs="Times New Roman"/>
        </w:rPr>
        <w:t>rtés, F</w:t>
      </w:r>
      <w:r w:rsidRPr="003D2268">
        <w:rPr>
          <w:rFonts w:ascii="Times New Roman" w:hAnsi="Times New Roman" w:cs="Times New Roman"/>
        </w:rPr>
        <w:t xml:space="preserve">. Medio siglo de desigualdad en el ingreso en México. </w:t>
      </w:r>
      <w:r w:rsidR="00191DDF">
        <w:rPr>
          <w:rFonts w:ascii="Times New Roman" w:hAnsi="Times New Roman" w:cs="Times New Roman"/>
        </w:rPr>
        <w:t xml:space="preserve">Revista </w:t>
      </w:r>
      <w:r w:rsidRPr="003D2268">
        <w:rPr>
          <w:rFonts w:ascii="Times New Roman" w:hAnsi="Times New Roman" w:cs="Times New Roman"/>
        </w:rPr>
        <w:t>Economía UNAM, 2013;</w:t>
      </w:r>
      <w:r w:rsidR="00755996" w:rsidRPr="003D2268">
        <w:rPr>
          <w:rFonts w:ascii="Times New Roman" w:hAnsi="Times New Roman" w:cs="Times New Roman"/>
        </w:rPr>
        <w:t xml:space="preserve"> </w:t>
      </w:r>
      <w:r w:rsidRPr="003D2268">
        <w:rPr>
          <w:rFonts w:ascii="Times New Roman" w:hAnsi="Times New Roman" w:cs="Times New Roman"/>
        </w:rPr>
        <w:t>29(10):</w:t>
      </w:r>
      <w:r w:rsidR="00755996" w:rsidRPr="003D2268">
        <w:rPr>
          <w:rFonts w:ascii="Times New Roman" w:hAnsi="Times New Roman" w:cs="Times New Roman"/>
        </w:rPr>
        <w:t xml:space="preserve"> </w:t>
      </w:r>
      <w:r w:rsidRPr="003D2268">
        <w:rPr>
          <w:rFonts w:ascii="Times New Roman" w:hAnsi="Times New Roman" w:cs="Times New Roman"/>
        </w:rPr>
        <w:t>12-34.</w:t>
      </w:r>
      <w:r w:rsidR="00893918"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54" w:history="1">
        <w:r w:rsidRPr="003D2268">
          <w:rPr>
            <w:rStyle w:val="Hipervnculo"/>
            <w:rFonts w:ascii="Times New Roman" w:hAnsi="Times New Roman" w:cs="Times New Roman"/>
          </w:rPr>
          <w:t>http://www.scielo.org.mx/pdf/eunam/v10n29/v10n29a2.pdf</w:t>
        </w:r>
      </w:hyperlink>
    </w:p>
    <w:p w14:paraId="48E90BE8" w14:textId="1057DBBB" w:rsidR="00711B6D" w:rsidRPr="003D2268" w:rsidRDefault="00755996" w:rsidP="00711B6D">
      <w:pPr>
        <w:rPr>
          <w:rFonts w:ascii="Times New Roman" w:hAnsi="Times New Roman" w:cs="Times New Roman"/>
        </w:rPr>
      </w:pPr>
      <w:r w:rsidRPr="003D2268">
        <w:rPr>
          <w:rFonts w:ascii="Times New Roman" w:hAnsi="Times New Roman" w:cs="Times New Roman"/>
        </w:rPr>
        <w:t>27.</w:t>
      </w:r>
      <w:r w:rsidRPr="003D2268">
        <w:rPr>
          <w:rFonts w:ascii="Times New Roman" w:hAnsi="Times New Roman" w:cs="Times New Roman"/>
        </w:rPr>
        <w:tab/>
        <w:t xml:space="preserve">Bustamante, M. </w:t>
      </w:r>
      <w:r w:rsidR="00711B6D" w:rsidRPr="003D2268">
        <w:rPr>
          <w:rFonts w:ascii="Times New Roman" w:hAnsi="Times New Roman" w:cs="Times New Roman"/>
        </w:rPr>
        <w:t>Hechos sobresalientes en la historia de la Secretaría de Salubridad y Asis</w:t>
      </w:r>
      <w:r w:rsidR="002F3DCD" w:rsidRPr="003D2268">
        <w:rPr>
          <w:rFonts w:ascii="Times New Roman" w:hAnsi="Times New Roman" w:cs="Times New Roman"/>
        </w:rPr>
        <w:t xml:space="preserve">tencia. Salud Pública de México, </w:t>
      </w:r>
      <w:r w:rsidR="00711B6D" w:rsidRPr="003D2268">
        <w:rPr>
          <w:rFonts w:ascii="Times New Roman" w:hAnsi="Times New Roman" w:cs="Times New Roman"/>
        </w:rPr>
        <w:t>1983;</w:t>
      </w:r>
      <w:r w:rsidR="002F3DCD" w:rsidRPr="003D2268">
        <w:rPr>
          <w:rFonts w:ascii="Times New Roman" w:hAnsi="Times New Roman" w:cs="Times New Roman"/>
        </w:rPr>
        <w:t xml:space="preserve"> </w:t>
      </w:r>
      <w:r w:rsidR="00711B6D" w:rsidRPr="003D2268">
        <w:rPr>
          <w:rFonts w:ascii="Times New Roman" w:hAnsi="Times New Roman" w:cs="Times New Roman"/>
        </w:rPr>
        <w:t>5(25):</w:t>
      </w:r>
      <w:r w:rsidR="002F3DCD" w:rsidRPr="003D2268">
        <w:rPr>
          <w:rFonts w:ascii="Times New Roman" w:hAnsi="Times New Roman" w:cs="Times New Roman"/>
        </w:rPr>
        <w:t xml:space="preserve"> </w:t>
      </w:r>
      <w:r w:rsidR="00711B6D" w:rsidRPr="003D2268">
        <w:rPr>
          <w:rFonts w:ascii="Times New Roman" w:hAnsi="Times New Roman" w:cs="Times New Roman"/>
        </w:rPr>
        <w:t xml:space="preserve">465-482. </w:t>
      </w:r>
      <w:r w:rsidR="005D5C47" w:rsidRPr="003D2268">
        <w:rPr>
          <w:rFonts w:ascii="Times New Roman" w:hAnsi="Times New Roman" w:cs="Times New Roman"/>
        </w:rPr>
        <w:t xml:space="preserve">Disponible en: </w:t>
      </w:r>
      <w:hyperlink r:id="rId55" w:history="1">
        <w:r w:rsidR="00711B6D" w:rsidRPr="003D2268">
          <w:rPr>
            <w:rStyle w:val="Hipervnculo"/>
            <w:rFonts w:ascii="Times New Roman" w:hAnsi="Times New Roman" w:cs="Times New Roman"/>
          </w:rPr>
          <w:t>https://www.saludpublica.mx/index.php/spm/article/view/579/567</w:t>
        </w:r>
      </w:hyperlink>
    </w:p>
    <w:p w14:paraId="2F7A8CA3" w14:textId="3A28D064" w:rsidR="00711B6D" w:rsidRPr="003D2268" w:rsidRDefault="00711B6D" w:rsidP="00711B6D">
      <w:pPr>
        <w:rPr>
          <w:rFonts w:ascii="Times New Roman" w:hAnsi="Times New Roman" w:cs="Times New Roman"/>
        </w:rPr>
      </w:pPr>
      <w:r w:rsidRPr="003D2268">
        <w:rPr>
          <w:rFonts w:ascii="Times New Roman" w:hAnsi="Times New Roman" w:cs="Times New Roman"/>
        </w:rPr>
        <w:t>28.</w:t>
      </w:r>
      <w:r w:rsidRPr="003D2268">
        <w:rPr>
          <w:rFonts w:ascii="Times New Roman" w:hAnsi="Times New Roman" w:cs="Times New Roman"/>
        </w:rPr>
        <w:tab/>
      </w:r>
      <w:r w:rsidR="002F3DCD" w:rsidRPr="003D2268">
        <w:rPr>
          <w:rFonts w:ascii="Times New Roman" w:hAnsi="Times New Roman" w:cs="Times New Roman"/>
        </w:rPr>
        <w:t>Cámara de Diputados</w:t>
      </w:r>
      <w:r w:rsidRPr="003D2268">
        <w:rPr>
          <w:rFonts w:ascii="Times New Roman" w:hAnsi="Times New Roman" w:cs="Times New Roman"/>
        </w:rPr>
        <w:t xml:space="preserve">. Artículo 4o. 3ª Reforma DOF 03-02-1983. </w:t>
      </w:r>
      <w:r w:rsidR="00612718" w:rsidRPr="003D2268">
        <w:rPr>
          <w:rFonts w:ascii="Times New Roman" w:hAnsi="Times New Roman" w:cs="Times New Roman"/>
        </w:rPr>
        <w:t xml:space="preserve">Diario Oficial de la Federación, </w:t>
      </w:r>
      <w:r w:rsidRPr="003D2268">
        <w:rPr>
          <w:rFonts w:ascii="Times New Roman" w:hAnsi="Times New Roman" w:cs="Times New Roman"/>
        </w:rPr>
        <w:t>1983:</w:t>
      </w:r>
      <w:r w:rsidR="00612718" w:rsidRPr="003D2268">
        <w:rPr>
          <w:rFonts w:ascii="Times New Roman" w:hAnsi="Times New Roman" w:cs="Times New Roman"/>
        </w:rPr>
        <w:t xml:space="preserve"> </w:t>
      </w:r>
      <w:r w:rsidRPr="003D2268">
        <w:rPr>
          <w:rFonts w:ascii="Times New Roman" w:hAnsi="Times New Roman" w:cs="Times New Roman"/>
        </w:rPr>
        <w:t>2-3.</w:t>
      </w:r>
      <w:r w:rsidR="005D5C47"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56" w:history="1">
        <w:r w:rsidRPr="003D2268">
          <w:rPr>
            <w:rStyle w:val="Hipervnculo"/>
            <w:rFonts w:ascii="Times New Roman" w:hAnsi="Times New Roman" w:cs="Times New Roman"/>
          </w:rPr>
          <w:t>http://www.diputados.gob.mx/LeyesBiblio/ref/cpeum_art.htm</w:t>
        </w:r>
      </w:hyperlink>
    </w:p>
    <w:p w14:paraId="0B721C64" w14:textId="49C07380" w:rsidR="00711B6D" w:rsidRPr="003D2268" w:rsidRDefault="00711B6D" w:rsidP="00711B6D">
      <w:pPr>
        <w:rPr>
          <w:rFonts w:ascii="Times New Roman" w:hAnsi="Times New Roman" w:cs="Times New Roman"/>
        </w:rPr>
      </w:pPr>
      <w:r w:rsidRPr="003D2268">
        <w:rPr>
          <w:rFonts w:ascii="Times New Roman" w:hAnsi="Times New Roman" w:cs="Times New Roman"/>
        </w:rPr>
        <w:t>29.</w:t>
      </w:r>
      <w:r w:rsidRPr="003D2268">
        <w:rPr>
          <w:rFonts w:ascii="Times New Roman" w:hAnsi="Times New Roman" w:cs="Times New Roman"/>
        </w:rPr>
        <w:tab/>
      </w:r>
      <w:r w:rsidR="008C6CCB" w:rsidRPr="003D2268">
        <w:rPr>
          <w:rFonts w:ascii="Times New Roman" w:hAnsi="Times New Roman" w:cs="Times New Roman"/>
        </w:rPr>
        <w:t xml:space="preserve">Organización Panamericana de la Salud. </w:t>
      </w:r>
      <w:r w:rsidRPr="003D2268">
        <w:rPr>
          <w:rFonts w:ascii="Times New Roman" w:hAnsi="Times New Roman" w:cs="Times New Roman"/>
        </w:rPr>
        <w:t xml:space="preserve">Declaración de Alma-Ata. Conferencia Internacional sobre Atención Primaria de Salud. </w:t>
      </w:r>
      <w:r w:rsidR="008C6CCB" w:rsidRPr="003D2268">
        <w:rPr>
          <w:rFonts w:ascii="Times New Roman" w:hAnsi="Times New Roman" w:cs="Times New Roman"/>
        </w:rPr>
        <w:t>Organización Panamericana de la Salud,</w:t>
      </w:r>
      <w:r w:rsidRPr="003D2268">
        <w:rPr>
          <w:rFonts w:ascii="Times New Roman" w:hAnsi="Times New Roman" w:cs="Times New Roman"/>
        </w:rPr>
        <w:t xml:space="preserve"> 2012:</w:t>
      </w:r>
      <w:r w:rsidR="008C6CCB" w:rsidRPr="003D2268">
        <w:rPr>
          <w:rFonts w:ascii="Times New Roman" w:hAnsi="Times New Roman" w:cs="Times New Roman"/>
        </w:rPr>
        <w:t xml:space="preserve"> </w:t>
      </w:r>
      <w:r w:rsidRPr="003D2268">
        <w:rPr>
          <w:rFonts w:ascii="Times New Roman" w:hAnsi="Times New Roman" w:cs="Times New Roman"/>
        </w:rPr>
        <w:t xml:space="preserve">1-3. </w:t>
      </w:r>
      <w:r w:rsidR="005D5C47" w:rsidRPr="003D2268">
        <w:rPr>
          <w:rFonts w:ascii="Times New Roman" w:hAnsi="Times New Roman" w:cs="Times New Roman"/>
        </w:rPr>
        <w:t xml:space="preserve">Disponible en: </w:t>
      </w:r>
      <w:hyperlink r:id="rId57" w:history="1">
        <w:r w:rsidRPr="003D2268">
          <w:rPr>
            <w:rStyle w:val="Hipervnculo"/>
            <w:rFonts w:ascii="Times New Roman" w:hAnsi="Times New Roman" w:cs="Times New Roman"/>
          </w:rPr>
          <w:t>https://www.paho.org/hq/dmdocuments/2012/Alma-Ata-1978Declaracion.pdf</w:t>
        </w:r>
      </w:hyperlink>
    </w:p>
    <w:p w14:paraId="33B7CD45" w14:textId="79FC84D6" w:rsidR="00711B6D" w:rsidRPr="003D2268" w:rsidRDefault="005D5C47" w:rsidP="00711B6D">
      <w:pPr>
        <w:rPr>
          <w:rFonts w:ascii="Times New Roman" w:hAnsi="Times New Roman" w:cs="Times New Roman"/>
        </w:rPr>
      </w:pPr>
      <w:r w:rsidRPr="003D2268">
        <w:rPr>
          <w:rFonts w:ascii="Times New Roman" w:hAnsi="Times New Roman" w:cs="Times New Roman"/>
        </w:rPr>
        <w:lastRenderedPageBreak/>
        <w:t>30.</w:t>
      </w:r>
      <w:r w:rsidRPr="003D2268">
        <w:rPr>
          <w:rFonts w:ascii="Times New Roman" w:hAnsi="Times New Roman" w:cs="Times New Roman"/>
        </w:rPr>
        <w:tab/>
        <w:t xml:space="preserve">Secretaría de Salud. </w:t>
      </w:r>
      <w:r w:rsidR="00711B6D" w:rsidRPr="003D2268">
        <w:rPr>
          <w:rFonts w:ascii="Times New Roman" w:hAnsi="Times New Roman" w:cs="Times New Roman"/>
        </w:rPr>
        <w:t xml:space="preserve">Programa Nacional de Salud 1984–1988. </w:t>
      </w:r>
      <w:r w:rsidR="00B60480" w:rsidRPr="003D2268">
        <w:rPr>
          <w:rFonts w:ascii="Times New Roman" w:hAnsi="Times New Roman" w:cs="Times New Roman"/>
        </w:rPr>
        <w:t>Diario Oficial de la Federación,</w:t>
      </w:r>
      <w:r w:rsidR="00711B6D" w:rsidRPr="003D2268">
        <w:rPr>
          <w:rFonts w:ascii="Times New Roman" w:hAnsi="Times New Roman" w:cs="Times New Roman"/>
        </w:rPr>
        <w:t xml:space="preserve"> 1984:</w:t>
      </w:r>
      <w:r w:rsidR="00B60480" w:rsidRPr="003D2268">
        <w:rPr>
          <w:rFonts w:ascii="Times New Roman" w:hAnsi="Times New Roman" w:cs="Times New Roman"/>
        </w:rPr>
        <w:t xml:space="preserve"> </w:t>
      </w:r>
      <w:r w:rsidR="00711B6D" w:rsidRPr="003D2268">
        <w:rPr>
          <w:rFonts w:ascii="Times New Roman" w:hAnsi="Times New Roman" w:cs="Times New Roman"/>
        </w:rPr>
        <w:t xml:space="preserve">1-33. </w:t>
      </w:r>
      <w:r w:rsidRPr="003D2268">
        <w:rPr>
          <w:rFonts w:ascii="Times New Roman" w:hAnsi="Times New Roman" w:cs="Times New Roman"/>
        </w:rPr>
        <w:t xml:space="preserve">Disponible en: </w:t>
      </w:r>
      <w:hyperlink r:id="rId58" w:history="1">
        <w:r w:rsidRPr="003D2268">
          <w:rPr>
            <w:rStyle w:val="Hipervnculo"/>
            <w:rFonts w:ascii="Times New Roman" w:hAnsi="Times New Roman" w:cs="Times New Roman"/>
          </w:rPr>
          <w:t>http://dof.gob.mx/nota_detalle.php?codigo=4684764&amp;fecha=23/08/1984</w:t>
        </w:r>
      </w:hyperlink>
    </w:p>
    <w:p w14:paraId="2D4A9899" w14:textId="0DDC07E5" w:rsidR="00711B6D" w:rsidRPr="003D2268" w:rsidRDefault="005D5C47" w:rsidP="00711B6D">
      <w:pPr>
        <w:rPr>
          <w:rFonts w:ascii="Times New Roman" w:hAnsi="Times New Roman" w:cs="Times New Roman"/>
        </w:rPr>
      </w:pPr>
      <w:r w:rsidRPr="003D2268">
        <w:rPr>
          <w:rFonts w:ascii="Times New Roman" w:hAnsi="Times New Roman" w:cs="Times New Roman"/>
        </w:rPr>
        <w:t>31.</w:t>
      </w:r>
      <w:r w:rsidRPr="003D2268">
        <w:rPr>
          <w:rFonts w:ascii="Times New Roman" w:hAnsi="Times New Roman" w:cs="Times New Roman"/>
        </w:rPr>
        <w:tab/>
        <w:t>Secretaría de Salud</w:t>
      </w:r>
      <w:r w:rsidR="00711B6D" w:rsidRPr="003D2268">
        <w:rPr>
          <w:rFonts w:ascii="Times New Roman" w:hAnsi="Times New Roman" w:cs="Times New Roman"/>
        </w:rPr>
        <w:t xml:space="preserve">. </w:t>
      </w:r>
      <w:r w:rsidRPr="003D2268">
        <w:rPr>
          <w:rFonts w:ascii="Times New Roman" w:hAnsi="Times New Roman" w:cs="Times New Roman"/>
        </w:rPr>
        <w:t>Programa Nacional de Salud</w:t>
      </w:r>
      <w:r w:rsidR="00711B6D" w:rsidRPr="003D2268">
        <w:rPr>
          <w:rFonts w:ascii="Times New Roman" w:hAnsi="Times New Roman" w:cs="Times New Roman"/>
        </w:rPr>
        <w:t xml:space="preserve"> 2013–2018. </w:t>
      </w:r>
      <w:r w:rsidR="00322165" w:rsidRPr="003D2268">
        <w:rPr>
          <w:rFonts w:ascii="Times New Roman" w:hAnsi="Times New Roman" w:cs="Times New Roman"/>
        </w:rPr>
        <w:t>Diario Oficial de la Federación,</w:t>
      </w:r>
      <w:r w:rsidR="00711B6D" w:rsidRPr="003D2268">
        <w:rPr>
          <w:rFonts w:ascii="Times New Roman" w:hAnsi="Times New Roman" w:cs="Times New Roman"/>
        </w:rPr>
        <w:t xml:space="preserve"> 2013:</w:t>
      </w:r>
      <w:r w:rsidR="00B60480" w:rsidRPr="003D2268">
        <w:rPr>
          <w:rFonts w:ascii="Times New Roman" w:hAnsi="Times New Roman" w:cs="Times New Roman"/>
        </w:rPr>
        <w:t xml:space="preserve"> </w:t>
      </w:r>
      <w:r w:rsidR="00711B6D" w:rsidRPr="003D2268">
        <w:rPr>
          <w:rFonts w:ascii="Times New Roman" w:hAnsi="Times New Roman" w:cs="Times New Roman"/>
        </w:rPr>
        <w:t>2-141.</w:t>
      </w:r>
      <w:r w:rsidR="002F2790"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59" w:history="1">
        <w:r w:rsidR="00711B6D" w:rsidRPr="003D2268">
          <w:rPr>
            <w:rStyle w:val="Hipervnculo"/>
            <w:rFonts w:ascii="Times New Roman" w:hAnsi="Times New Roman" w:cs="Times New Roman"/>
          </w:rPr>
          <w:t>http://evaluacion.ssm.gob.mx/pdf/Prosesa-2013-2018.pdf</w:t>
        </w:r>
      </w:hyperlink>
    </w:p>
    <w:p w14:paraId="21CCF8D4" w14:textId="5AE044DA" w:rsidR="00711B6D" w:rsidRPr="003D2268" w:rsidRDefault="00711B6D" w:rsidP="00711B6D">
      <w:pPr>
        <w:rPr>
          <w:rFonts w:ascii="Times New Roman" w:hAnsi="Times New Roman" w:cs="Times New Roman"/>
        </w:rPr>
      </w:pPr>
      <w:r w:rsidRPr="003D2268">
        <w:rPr>
          <w:rFonts w:ascii="Times New Roman" w:hAnsi="Times New Roman" w:cs="Times New Roman"/>
        </w:rPr>
        <w:t>32.</w:t>
      </w:r>
      <w:r w:rsidRPr="003D2268">
        <w:rPr>
          <w:rFonts w:ascii="Times New Roman" w:hAnsi="Times New Roman" w:cs="Times New Roman"/>
        </w:rPr>
        <w:tab/>
        <w:t>Fajardo, D.  Ritmo y rumbo de la salud en México: Conversaciones con los secretarios de Salud 1982-2</w:t>
      </w:r>
      <w:r w:rsidR="00322165" w:rsidRPr="003D2268">
        <w:rPr>
          <w:rFonts w:ascii="Times New Roman" w:hAnsi="Times New Roman" w:cs="Times New Roman"/>
        </w:rPr>
        <w:t>018. Fondo de Cultura económica,</w:t>
      </w:r>
      <w:r w:rsidRPr="003D2268">
        <w:rPr>
          <w:rFonts w:ascii="Times New Roman" w:hAnsi="Times New Roman" w:cs="Times New Roman"/>
        </w:rPr>
        <w:t xml:space="preserve"> 2018:</w:t>
      </w:r>
      <w:r w:rsidR="00B60480" w:rsidRPr="003D2268">
        <w:rPr>
          <w:rFonts w:ascii="Times New Roman" w:hAnsi="Times New Roman" w:cs="Times New Roman"/>
        </w:rPr>
        <w:t xml:space="preserve"> </w:t>
      </w:r>
      <w:r w:rsidRPr="003D2268">
        <w:rPr>
          <w:rFonts w:ascii="Times New Roman" w:hAnsi="Times New Roman" w:cs="Times New Roman"/>
        </w:rPr>
        <w:t>1-189.</w:t>
      </w:r>
    </w:p>
    <w:p w14:paraId="4F72AF49" w14:textId="25B2971A" w:rsidR="00711B6D" w:rsidRPr="003D2268" w:rsidRDefault="00711B6D" w:rsidP="00711B6D">
      <w:pPr>
        <w:rPr>
          <w:rFonts w:ascii="Times New Roman" w:hAnsi="Times New Roman" w:cs="Times New Roman"/>
        </w:rPr>
      </w:pPr>
      <w:r w:rsidRPr="003D2268">
        <w:rPr>
          <w:rFonts w:ascii="Times New Roman" w:hAnsi="Times New Roman" w:cs="Times New Roman"/>
        </w:rPr>
        <w:t>33.</w:t>
      </w:r>
      <w:r w:rsidRPr="003D2268">
        <w:rPr>
          <w:rFonts w:ascii="Times New Roman" w:hAnsi="Times New Roman" w:cs="Times New Roman"/>
        </w:rPr>
        <w:tab/>
        <w:t>Leal, F. Discutiendo las instituciones de Seguros Especializadas en Sal</w:t>
      </w:r>
      <w:r w:rsidR="002F2790" w:rsidRPr="003D2268">
        <w:rPr>
          <w:rFonts w:ascii="Times New Roman" w:hAnsi="Times New Roman" w:cs="Times New Roman"/>
        </w:rPr>
        <w:t>ud</w:t>
      </w:r>
      <w:r w:rsidR="00322165" w:rsidRPr="003D2268">
        <w:rPr>
          <w:rFonts w:ascii="Times New Roman" w:hAnsi="Times New Roman" w:cs="Times New Roman"/>
        </w:rPr>
        <w:t>. Serie Académicos CBS,</w:t>
      </w:r>
      <w:r w:rsidRPr="003D2268">
        <w:rPr>
          <w:rFonts w:ascii="Times New Roman" w:hAnsi="Times New Roman" w:cs="Times New Roman"/>
        </w:rPr>
        <w:t xml:space="preserve"> 2004:</w:t>
      </w:r>
      <w:r w:rsidR="00322165" w:rsidRPr="003D2268">
        <w:rPr>
          <w:rFonts w:ascii="Times New Roman" w:hAnsi="Times New Roman" w:cs="Times New Roman"/>
        </w:rPr>
        <w:t xml:space="preserve"> </w:t>
      </w:r>
      <w:r w:rsidRPr="003D2268">
        <w:rPr>
          <w:rFonts w:ascii="Times New Roman" w:hAnsi="Times New Roman" w:cs="Times New Roman"/>
        </w:rPr>
        <w:t>1-115.</w:t>
      </w:r>
      <w:r w:rsidR="002F2790"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60" w:history="1">
        <w:r w:rsidRPr="003D2268">
          <w:rPr>
            <w:rStyle w:val="Hipervnculo"/>
            <w:rFonts w:ascii="Times New Roman" w:hAnsi="Times New Roman" w:cs="Times New Roman"/>
          </w:rPr>
          <w:t>https://www.worldcat.org/title/discutiendo-las-instituciones-de-seguros-especializadas-en-salud-ises/oclc/60717868</w:t>
        </w:r>
      </w:hyperlink>
      <w:r w:rsidRPr="003D2268">
        <w:rPr>
          <w:rFonts w:ascii="Times New Roman" w:hAnsi="Times New Roman" w:cs="Times New Roman"/>
        </w:rPr>
        <w:t>.</w:t>
      </w:r>
    </w:p>
    <w:p w14:paraId="7DBB6E4A" w14:textId="73CBCAAB" w:rsidR="00711B6D" w:rsidRPr="003D2268" w:rsidRDefault="00711B6D" w:rsidP="00711B6D">
      <w:pPr>
        <w:rPr>
          <w:rFonts w:ascii="Times New Roman" w:hAnsi="Times New Roman" w:cs="Times New Roman"/>
        </w:rPr>
      </w:pPr>
      <w:r w:rsidRPr="003D2268">
        <w:rPr>
          <w:rFonts w:ascii="Times New Roman" w:hAnsi="Times New Roman" w:cs="Times New Roman"/>
        </w:rPr>
        <w:t>34.</w:t>
      </w:r>
      <w:r w:rsidRPr="003D2268">
        <w:rPr>
          <w:rFonts w:ascii="Times New Roman" w:hAnsi="Times New Roman" w:cs="Times New Roman"/>
        </w:rPr>
        <w:tab/>
      </w:r>
      <w:proofErr w:type="spellStart"/>
      <w:r w:rsidRPr="003D2268">
        <w:rPr>
          <w:rFonts w:ascii="Times New Roman" w:hAnsi="Times New Roman" w:cs="Times New Roman"/>
        </w:rPr>
        <w:t>Brachet</w:t>
      </w:r>
      <w:proofErr w:type="spellEnd"/>
      <w:r w:rsidRPr="003D2268">
        <w:rPr>
          <w:rFonts w:ascii="Times New Roman" w:hAnsi="Times New Roman" w:cs="Times New Roman"/>
        </w:rPr>
        <w:t>, V. Historia Universal, Moderna y Contemporánea II. Lecturas para profesores. El Estado benefactor mexicano: nacimiento, auge y declive (1822-2000).</w:t>
      </w:r>
      <w:r w:rsidR="005C14B9">
        <w:rPr>
          <w:rFonts w:ascii="Times New Roman" w:hAnsi="Times New Roman" w:cs="Times New Roman"/>
        </w:rPr>
        <w:t xml:space="preserve"> </w:t>
      </w:r>
      <w:r w:rsidR="005C14B9" w:rsidRPr="005C14B9">
        <w:rPr>
          <w:rFonts w:ascii="Times New Roman" w:hAnsi="Times New Roman" w:cs="Times New Roman"/>
        </w:rPr>
        <w:t>El Colegio de México</w:t>
      </w:r>
      <w:r w:rsidR="00322165" w:rsidRPr="003D2268">
        <w:rPr>
          <w:rFonts w:ascii="Times New Roman" w:hAnsi="Times New Roman" w:cs="Times New Roman"/>
        </w:rPr>
        <w:t>,</w:t>
      </w:r>
      <w:r w:rsidR="005C14B9">
        <w:rPr>
          <w:rFonts w:ascii="Times New Roman" w:hAnsi="Times New Roman" w:cs="Times New Roman"/>
        </w:rPr>
        <w:t xml:space="preserve"> 200</w:t>
      </w:r>
      <w:r w:rsidRPr="003D2268">
        <w:rPr>
          <w:rFonts w:ascii="Times New Roman" w:hAnsi="Times New Roman" w:cs="Times New Roman"/>
        </w:rPr>
        <w:t>4:</w:t>
      </w:r>
      <w:r w:rsidR="00322165" w:rsidRPr="003D2268">
        <w:rPr>
          <w:rFonts w:ascii="Times New Roman" w:hAnsi="Times New Roman" w:cs="Times New Roman"/>
        </w:rPr>
        <w:t xml:space="preserve"> </w:t>
      </w:r>
      <w:r w:rsidRPr="003D2268">
        <w:rPr>
          <w:rFonts w:ascii="Times New Roman" w:hAnsi="Times New Roman" w:cs="Times New Roman"/>
        </w:rPr>
        <w:t>1-21.</w:t>
      </w:r>
      <w:r w:rsidR="002F2790"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61" w:history="1">
        <w:r w:rsidRPr="003D2268">
          <w:rPr>
            <w:rStyle w:val="Hipervnculo"/>
            <w:rFonts w:ascii="Times New Roman" w:hAnsi="Times New Roman" w:cs="Times New Roman"/>
          </w:rPr>
          <w:t>https://portalacademico.cch.unam.mx/repositorio-de-sitios/historico-social/historia-universal-2/HUMCII/referencias4.htm</w:t>
        </w:r>
      </w:hyperlink>
    </w:p>
    <w:p w14:paraId="1A8306DE" w14:textId="301B0B5C" w:rsidR="00711B6D" w:rsidRPr="003D2268" w:rsidRDefault="00ED2CEC" w:rsidP="00711B6D">
      <w:pPr>
        <w:rPr>
          <w:rFonts w:ascii="Times New Roman" w:hAnsi="Times New Roman" w:cs="Times New Roman"/>
        </w:rPr>
      </w:pPr>
      <w:r w:rsidRPr="003D2268">
        <w:rPr>
          <w:rFonts w:ascii="Times New Roman" w:hAnsi="Times New Roman" w:cs="Times New Roman"/>
        </w:rPr>
        <w:t>35.</w:t>
      </w:r>
      <w:r w:rsidRPr="003D2268">
        <w:rPr>
          <w:rFonts w:ascii="Times New Roman" w:hAnsi="Times New Roman" w:cs="Times New Roman"/>
        </w:rPr>
        <w:tab/>
      </w:r>
      <w:r w:rsidR="00212970" w:rsidRPr="003D2268">
        <w:rPr>
          <w:rFonts w:ascii="Times New Roman" w:hAnsi="Times New Roman" w:cs="Times New Roman"/>
        </w:rPr>
        <w:t xml:space="preserve">Instituto Nacional de Salud Pública. </w:t>
      </w:r>
      <w:r w:rsidR="00750195" w:rsidRPr="003D2268">
        <w:rPr>
          <w:rFonts w:ascii="Times New Roman" w:hAnsi="Times New Roman" w:cs="Times New Roman"/>
        </w:rPr>
        <w:t>Encuesta N</w:t>
      </w:r>
      <w:r w:rsidRPr="003D2268">
        <w:rPr>
          <w:rFonts w:ascii="Times New Roman" w:hAnsi="Times New Roman" w:cs="Times New Roman"/>
        </w:rPr>
        <w:t>acional de Salud y N</w:t>
      </w:r>
      <w:r w:rsidR="00711B6D" w:rsidRPr="003D2268">
        <w:rPr>
          <w:rFonts w:ascii="Times New Roman" w:hAnsi="Times New Roman" w:cs="Times New Roman"/>
        </w:rPr>
        <w:t>utrición 2000. Vivienda, población y utilización de ser</w:t>
      </w:r>
      <w:r w:rsidRPr="003D2268">
        <w:rPr>
          <w:rFonts w:ascii="Times New Roman" w:hAnsi="Times New Roman" w:cs="Times New Roman"/>
        </w:rPr>
        <w:t>vicios de salud. Secretaría de Salud,</w:t>
      </w:r>
      <w:r w:rsidR="009A16B3" w:rsidRPr="003D2268">
        <w:rPr>
          <w:rFonts w:ascii="Times New Roman" w:hAnsi="Times New Roman" w:cs="Times New Roman"/>
        </w:rPr>
        <w:t xml:space="preserve"> 2003</w:t>
      </w:r>
      <w:r w:rsidRPr="003D2268">
        <w:rPr>
          <w:rFonts w:ascii="Times New Roman" w:hAnsi="Times New Roman" w:cs="Times New Roman"/>
        </w:rPr>
        <w:t xml:space="preserve">: </w:t>
      </w:r>
      <w:r w:rsidR="00711B6D" w:rsidRPr="003D2268">
        <w:rPr>
          <w:rFonts w:ascii="Times New Roman" w:hAnsi="Times New Roman" w:cs="Times New Roman"/>
        </w:rPr>
        <w:t xml:space="preserve">1-292. </w:t>
      </w:r>
      <w:r w:rsidR="009A16B3" w:rsidRPr="003D2268">
        <w:rPr>
          <w:rFonts w:ascii="Times New Roman" w:hAnsi="Times New Roman" w:cs="Times New Roman"/>
        </w:rPr>
        <w:t xml:space="preserve">Disponible en: </w:t>
      </w:r>
      <w:hyperlink r:id="rId62" w:history="1">
        <w:r w:rsidR="00711B6D" w:rsidRPr="003D2268">
          <w:rPr>
            <w:rStyle w:val="Hipervnculo"/>
            <w:rFonts w:ascii="Times New Roman" w:hAnsi="Times New Roman" w:cs="Times New Roman"/>
          </w:rPr>
          <w:t>https://ensanut.insp.mx/encuestas/ensa2000/doctos/informes/ENSA_tomo1.pdf</w:t>
        </w:r>
      </w:hyperlink>
    </w:p>
    <w:p w14:paraId="2FAB4166" w14:textId="34873442" w:rsidR="00711B6D" w:rsidRPr="003D2268" w:rsidRDefault="00ED2CEC" w:rsidP="00711B6D">
      <w:pPr>
        <w:rPr>
          <w:rFonts w:ascii="Times New Roman" w:hAnsi="Times New Roman" w:cs="Times New Roman"/>
        </w:rPr>
      </w:pPr>
      <w:r w:rsidRPr="003D2268">
        <w:rPr>
          <w:rFonts w:ascii="Times New Roman" w:hAnsi="Times New Roman" w:cs="Times New Roman"/>
        </w:rPr>
        <w:t>36.</w:t>
      </w:r>
      <w:r w:rsidRPr="003D2268">
        <w:rPr>
          <w:rFonts w:ascii="Times New Roman" w:hAnsi="Times New Roman" w:cs="Times New Roman"/>
        </w:rPr>
        <w:tab/>
        <w:t xml:space="preserve">Secretaría de Salud. </w:t>
      </w:r>
      <w:r w:rsidR="00711B6D" w:rsidRPr="003D2268">
        <w:rPr>
          <w:rFonts w:ascii="Times New Roman" w:hAnsi="Times New Roman" w:cs="Times New Roman"/>
        </w:rPr>
        <w:t xml:space="preserve">Programa Nacional de Salud 2001–2006. </w:t>
      </w:r>
      <w:r w:rsidRPr="003D2268">
        <w:rPr>
          <w:rFonts w:ascii="Times New Roman" w:hAnsi="Times New Roman" w:cs="Times New Roman"/>
        </w:rPr>
        <w:t>Diario Oficial de la Federación,</w:t>
      </w:r>
      <w:r w:rsidR="00711B6D" w:rsidRPr="003D2268">
        <w:rPr>
          <w:rFonts w:ascii="Times New Roman" w:hAnsi="Times New Roman" w:cs="Times New Roman"/>
        </w:rPr>
        <w:t xml:space="preserve"> 2001:</w:t>
      </w:r>
      <w:r w:rsidR="000B2E4A" w:rsidRPr="003D2268">
        <w:rPr>
          <w:rFonts w:ascii="Times New Roman" w:hAnsi="Times New Roman" w:cs="Times New Roman"/>
        </w:rPr>
        <w:t xml:space="preserve"> </w:t>
      </w:r>
      <w:r w:rsidR="00711B6D" w:rsidRPr="003D2268">
        <w:rPr>
          <w:rFonts w:ascii="Times New Roman" w:hAnsi="Times New Roman" w:cs="Times New Roman"/>
        </w:rPr>
        <w:t>15-205.</w:t>
      </w:r>
      <w:r w:rsidR="009A16B3"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63" w:history="1">
        <w:r w:rsidR="00711B6D" w:rsidRPr="003D2268">
          <w:rPr>
            <w:rStyle w:val="Hipervnculo"/>
            <w:rFonts w:ascii="Times New Roman" w:hAnsi="Times New Roman" w:cs="Times New Roman"/>
          </w:rPr>
          <w:t>http://www.salud.gob.mx/unidades/evaluacion/publicaciones/pns_2001-2006/pns2001-006.pdf</w:t>
        </w:r>
      </w:hyperlink>
    </w:p>
    <w:p w14:paraId="57F8BC39" w14:textId="6EDA54BA" w:rsidR="00711B6D" w:rsidRPr="003D2268" w:rsidRDefault="00711B6D" w:rsidP="00711B6D">
      <w:pPr>
        <w:rPr>
          <w:rFonts w:ascii="Times New Roman" w:hAnsi="Times New Roman" w:cs="Times New Roman"/>
        </w:rPr>
      </w:pPr>
      <w:r w:rsidRPr="003D2268">
        <w:rPr>
          <w:rFonts w:ascii="Times New Roman" w:hAnsi="Times New Roman" w:cs="Times New Roman"/>
        </w:rPr>
        <w:t>37.</w:t>
      </w:r>
      <w:r w:rsidRPr="003D2268">
        <w:rPr>
          <w:rFonts w:ascii="Times New Roman" w:hAnsi="Times New Roman" w:cs="Times New Roman"/>
        </w:rPr>
        <w:tab/>
        <w:t>Comisión Nacional de Protec</w:t>
      </w:r>
      <w:r w:rsidR="005A6E63" w:rsidRPr="003D2268">
        <w:rPr>
          <w:rFonts w:ascii="Times New Roman" w:hAnsi="Times New Roman" w:cs="Times New Roman"/>
        </w:rPr>
        <w:t xml:space="preserve">ción en Salud. </w:t>
      </w:r>
      <w:r w:rsidR="000B2E4A" w:rsidRPr="003D2268">
        <w:rPr>
          <w:rFonts w:ascii="Times New Roman" w:hAnsi="Times New Roman" w:cs="Times New Roman"/>
        </w:rPr>
        <w:t>Catálogo Universal de Servicios de S</w:t>
      </w:r>
      <w:r w:rsidR="005A6E63" w:rsidRPr="003D2268">
        <w:rPr>
          <w:rFonts w:ascii="Times New Roman" w:hAnsi="Times New Roman" w:cs="Times New Roman"/>
        </w:rPr>
        <w:t>alud</w:t>
      </w:r>
      <w:r w:rsidR="00491D08" w:rsidRPr="003D2268">
        <w:rPr>
          <w:rFonts w:ascii="Times New Roman" w:hAnsi="Times New Roman" w:cs="Times New Roman"/>
        </w:rPr>
        <w:t xml:space="preserve"> (</w:t>
      </w:r>
      <w:r w:rsidR="003C24CE" w:rsidRPr="003D2268">
        <w:rPr>
          <w:rFonts w:ascii="Times New Roman" w:hAnsi="Times New Roman" w:cs="Times New Roman"/>
        </w:rPr>
        <w:t>CUSES</w:t>
      </w:r>
      <w:r w:rsidR="00491D08" w:rsidRPr="003D2268">
        <w:rPr>
          <w:rFonts w:ascii="Times New Roman" w:hAnsi="Times New Roman" w:cs="Times New Roman"/>
        </w:rPr>
        <w:t>)</w:t>
      </w:r>
      <w:r w:rsidR="003C24CE" w:rsidRPr="003D2268">
        <w:rPr>
          <w:rFonts w:ascii="Times New Roman" w:hAnsi="Times New Roman" w:cs="Times New Roman"/>
        </w:rPr>
        <w:t xml:space="preserve"> </w:t>
      </w:r>
      <w:r w:rsidR="000B2E4A" w:rsidRPr="003D2268">
        <w:rPr>
          <w:rFonts w:ascii="Times New Roman" w:hAnsi="Times New Roman" w:cs="Times New Roman"/>
        </w:rPr>
        <w:t>2018</w:t>
      </w:r>
      <w:r w:rsidR="003C24CE" w:rsidRPr="003D2268">
        <w:rPr>
          <w:rFonts w:ascii="Times New Roman" w:hAnsi="Times New Roman" w:cs="Times New Roman"/>
        </w:rPr>
        <w:t xml:space="preserve">. Secretaría de Salud, </w:t>
      </w:r>
      <w:r w:rsidRPr="003D2268">
        <w:rPr>
          <w:rFonts w:ascii="Times New Roman" w:hAnsi="Times New Roman" w:cs="Times New Roman"/>
        </w:rPr>
        <w:t>2018:</w:t>
      </w:r>
      <w:r w:rsidR="003C24CE" w:rsidRPr="003D2268">
        <w:rPr>
          <w:rFonts w:ascii="Times New Roman" w:hAnsi="Times New Roman" w:cs="Times New Roman"/>
        </w:rPr>
        <w:t xml:space="preserve"> 1-9</w:t>
      </w:r>
      <w:r w:rsidRPr="003D2268">
        <w:rPr>
          <w:rFonts w:ascii="Times New Roman" w:hAnsi="Times New Roman" w:cs="Times New Roman"/>
        </w:rPr>
        <w:t xml:space="preserve">55. </w:t>
      </w:r>
      <w:r w:rsidR="005A6E63" w:rsidRPr="003D2268">
        <w:rPr>
          <w:rFonts w:ascii="Times New Roman" w:hAnsi="Times New Roman" w:cs="Times New Roman"/>
        </w:rPr>
        <w:t xml:space="preserve">Disponible en: </w:t>
      </w:r>
      <w:hyperlink r:id="rId64" w:history="1">
        <w:r w:rsidRPr="003D2268">
          <w:rPr>
            <w:rStyle w:val="Hipervnculo"/>
            <w:rFonts w:ascii="Times New Roman" w:hAnsi="Times New Roman" w:cs="Times New Roman"/>
          </w:rPr>
          <w:t>http://www.documentos.seguro-popular.gob.mx/dgss/CAUSES_2018c.pdf</w:t>
        </w:r>
      </w:hyperlink>
    </w:p>
    <w:p w14:paraId="7C59AC32" w14:textId="596CAAAE" w:rsidR="00711B6D" w:rsidRPr="003D2268" w:rsidRDefault="005A6E63" w:rsidP="00711B6D">
      <w:pPr>
        <w:rPr>
          <w:rFonts w:ascii="Times New Roman" w:hAnsi="Times New Roman" w:cs="Times New Roman"/>
        </w:rPr>
      </w:pPr>
      <w:r w:rsidRPr="003D2268">
        <w:rPr>
          <w:rFonts w:ascii="Times New Roman" w:hAnsi="Times New Roman" w:cs="Times New Roman"/>
        </w:rPr>
        <w:t>38.</w:t>
      </w:r>
      <w:r w:rsidRPr="003D2268">
        <w:rPr>
          <w:rFonts w:ascii="Times New Roman" w:hAnsi="Times New Roman" w:cs="Times New Roman"/>
        </w:rPr>
        <w:tab/>
        <w:t>Secretaría de S</w:t>
      </w:r>
      <w:r w:rsidR="00AA4025" w:rsidRPr="003D2268">
        <w:rPr>
          <w:rFonts w:ascii="Times New Roman" w:hAnsi="Times New Roman" w:cs="Times New Roman"/>
        </w:rPr>
        <w:t xml:space="preserve">alud. </w:t>
      </w:r>
      <w:r w:rsidR="00711B6D" w:rsidRPr="003D2268">
        <w:rPr>
          <w:rFonts w:ascii="Times New Roman" w:hAnsi="Times New Roman" w:cs="Times New Roman"/>
        </w:rPr>
        <w:t xml:space="preserve">Ley General de Salud (LGS). </w:t>
      </w:r>
      <w:r w:rsidR="00750195" w:rsidRPr="003D2268">
        <w:rPr>
          <w:rFonts w:ascii="Times New Roman" w:hAnsi="Times New Roman" w:cs="Times New Roman"/>
        </w:rPr>
        <w:t>Diario Oficial de la Federación,</w:t>
      </w:r>
      <w:r w:rsidR="00711B6D" w:rsidRPr="003D2268">
        <w:rPr>
          <w:rFonts w:ascii="Times New Roman" w:hAnsi="Times New Roman" w:cs="Times New Roman"/>
        </w:rPr>
        <w:t xml:space="preserve"> 2003:</w:t>
      </w:r>
      <w:r w:rsidR="00AA4025" w:rsidRPr="003D2268">
        <w:rPr>
          <w:rFonts w:ascii="Times New Roman" w:hAnsi="Times New Roman" w:cs="Times New Roman"/>
        </w:rPr>
        <w:t xml:space="preserve"> </w:t>
      </w:r>
      <w:r w:rsidR="00711B6D" w:rsidRPr="003D2268">
        <w:rPr>
          <w:rFonts w:ascii="Times New Roman" w:hAnsi="Times New Roman" w:cs="Times New Roman"/>
        </w:rPr>
        <w:t>1-143.</w:t>
      </w:r>
      <w:r w:rsidR="0032562C" w:rsidRPr="003D2268">
        <w:rPr>
          <w:rFonts w:ascii="Times New Roman" w:hAnsi="Times New Roman" w:cs="Times New Roman"/>
        </w:rPr>
        <w:t xml:space="preserve"> Disponible en: </w:t>
      </w:r>
      <w:hyperlink r:id="rId65" w:history="1">
        <w:r w:rsidR="00711B6D" w:rsidRPr="003D2268">
          <w:rPr>
            <w:rStyle w:val="Hipervnculo"/>
            <w:rFonts w:ascii="Times New Roman" w:hAnsi="Times New Roman" w:cs="Times New Roman"/>
          </w:rPr>
          <w:t>http://www.salud.gob.mx/unidades/cdi/legis/lgs/LEY_GENERAL_DE_SALUD.pdf</w:t>
        </w:r>
      </w:hyperlink>
    </w:p>
    <w:p w14:paraId="32A4F998" w14:textId="47013512" w:rsidR="00711B6D" w:rsidRPr="003D2268" w:rsidRDefault="00711B6D" w:rsidP="00711B6D">
      <w:pPr>
        <w:rPr>
          <w:rFonts w:ascii="Times New Roman" w:hAnsi="Times New Roman" w:cs="Times New Roman"/>
        </w:rPr>
      </w:pPr>
      <w:r w:rsidRPr="003D2268">
        <w:rPr>
          <w:rFonts w:ascii="Times New Roman" w:hAnsi="Times New Roman" w:cs="Times New Roman"/>
        </w:rPr>
        <w:t>39.</w:t>
      </w:r>
      <w:r w:rsidRPr="003D2268">
        <w:rPr>
          <w:rFonts w:ascii="Times New Roman" w:hAnsi="Times New Roman" w:cs="Times New Roman"/>
        </w:rPr>
        <w:tab/>
      </w:r>
      <w:r w:rsidR="00750195" w:rsidRPr="003D2268">
        <w:rPr>
          <w:rFonts w:ascii="Times New Roman" w:hAnsi="Times New Roman" w:cs="Times New Roman"/>
        </w:rPr>
        <w:t>Instituto Nacional de Salud Pública. Encuesta N</w:t>
      </w:r>
      <w:r w:rsidRPr="003D2268">
        <w:rPr>
          <w:rFonts w:ascii="Times New Roman" w:hAnsi="Times New Roman" w:cs="Times New Roman"/>
        </w:rPr>
        <w:t>a</w:t>
      </w:r>
      <w:r w:rsidR="00720C2B">
        <w:rPr>
          <w:rFonts w:ascii="Times New Roman" w:hAnsi="Times New Roman" w:cs="Times New Roman"/>
        </w:rPr>
        <w:t>cional de Salud y Nutrición 2000</w:t>
      </w:r>
      <w:r w:rsidR="00750195" w:rsidRPr="003D2268">
        <w:rPr>
          <w:rFonts w:ascii="Times New Roman" w:hAnsi="Times New Roman" w:cs="Times New Roman"/>
        </w:rPr>
        <w:t>. Secret</w:t>
      </w:r>
      <w:r w:rsidR="00750195" w:rsidRPr="008835D2">
        <w:rPr>
          <w:rFonts w:ascii="Times New Roman" w:hAnsi="Times New Roman" w:cs="Times New Roman"/>
        </w:rPr>
        <w:t>aría de salud,</w:t>
      </w:r>
      <w:r w:rsidR="00720C2B" w:rsidRPr="008835D2">
        <w:rPr>
          <w:rFonts w:ascii="Times New Roman" w:hAnsi="Times New Roman" w:cs="Times New Roman"/>
        </w:rPr>
        <w:t xml:space="preserve"> 2003</w:t>
      </w:r>
      <w:r w:rsidRPr="008835D2">
        <w:rPr>
          <w:rFonts w:ascii="Times New Roman" w:hAnsi="Times New Roman" w:cs="Times New Roman"/>
        </w:rPr>
        <w:t>:</w:t>
      </w:r>
      <w:r w:rsidR="0032562C" w:rsidRPr="008835D2">
        <w:rPr>
          <w:rFonts w:ascii="Times New Roman" w:hAnsi="Times New Roman" w:cs="Times New Roman"/>
        </w:rPr>
        <w:t xml:space="preserve"> </w:t>
      </w:r>
      <w:r w:rsidRPr="008835D2">
        <w:rPr>
          <w:rFonts w:ascii="Times New Roman" w:hAnsi="Times New Roman" w:cs="Times New Roman"/>
        </w:rPr>
        <w:t xml:space="preserve">1-132. </w:t>
      </w:r>
      <w:r w:rsidR="0032562C" w:rsidRPr="008835D2">
        <w:rPr>
          <w:rFonts w:ascii="Times New Roman" w:hAnsi="Times New Roman" w:cs="Times New Roman"/>
        </w:rPr>
        <w:t xml:space="preserve">Disponible en: </w:t>
      </w:r>
      <w:hyperlink r:id="rId66" w:history="1">
        <w:r w:rsidRPr="008835D2">
          <w:rPr>
            <w:rStyle w:val="Hipervnculo"/>
            <w:rFonts w:ascii="Times New Roman" w:hAnsi="Times New Roman" w:cs="Times New Roman"/>
          </w:rPr>
          <w:t>https://ensanut.insp.mx/encuestas/ensa2000/doctos/informes/ENSA_tomo1.pdf</w:t>
        </w:r>
      </w:hyperlink>
    </w:p>
    <w:p w14:paraId="7E080E09" w14:textId="34130DF8" w:rsidR="00711B6D" w:rsidRPr="003D2268" w:rsidRDefault="00711B6D" w:rsidP="00711B6D">
      <w:pPr>
        <w:rPr>
          <w:rFonts w:ascii="Times New Roman" w:hAnsi="Times New Roman" w:cs="Times New Roman"/>
        </w:rPr>
      </w:pPr>
      <w:r w:rsidRPr="003D2268">
        <w:rPr>
          <w:rFonts w:ascii="Times New Roman" w:hAnsi="Times New Roman" w:cs="Times New Roman"/>
        </w:rPr>
        <w:t>40.</w:t>
      </w:r>
      <w:r w:rsidRPr="003D2268">
        <w:rPr>
          <w:rFonts w:ascii="Times New Roman" w:hAnsi="Times New Roman" w:cs="Times New Roman"/>
        </w:rPr>
        <w:tab/>
      </w:r>
      <w:proofErr w:type="spellStart"/>
      <w:r w:rsidRPr="003D2268">
        <w:rPr>
          <w:rFonts w:ascii="Times New Roman" w:hAnsi="Times New Roman" w:cs="Times New Roman"/>
        </w:rPr>
        <w:t>Flamand</w:t>
      </w:r>
      <w:proofErr w:type="spellEnd"/>
      <w:r w:rsidRPr="003D2268">
        <w:rPr>
          <w:rFonts w:ascii="Times New Roman" w:hAnsi="Times New Roman" w:cs="Times New Roman"/>
        </w:rPr>
        <w:t xml:space="preserve">, </w:t>
      </w:r>
      <w:r w:rsidR="00750195" w:rsidRPr="003D2268">
        <w:rPr>
          <w:rFonts w:ascii="Times New Roman" w:hAnsi="Times New Roman" w:cs="Times New Roman"/>
        </w:rPr>
        <w:t>L</w:t>
      </w:r>
      <w:r w:rsidRPr="003D2268">
        <w:rPr>
          <w:rFonts w:ascii="Times New Roman" w:hAnsi="Times New Roman" w:cs="Times New Roman"/>
        </w:rPr>
        <w:t xml:space="preserve">. La protección social en salud durante el gobierno de Calderón. Avances y rezagos en el diseño y la implementación del seguro popular (2006-2012). Foro </w:t>
      </w:r>
      <w:r w:rsidR="00DA0B84" w:rsidRPr="003D2268">
        <w:rPr>
          <w:rFonts w:ascii="Times New Roman" w:hAnsi="Times New Roman" w:cs="Times New Roman"/>
        </w:rPr>
        <w:t>internacional, 2015</w:t>
      </w:r>
      <w:r w:rsidRPr="003D2268">
        <w:rPr>
          <w:rFonts w:ascii="Times New Roman" w:hAnsi="Times New Roman" w:cs="Times New Roman"/>
        </w:rPr>
        <w:t>;</w:t>
      </w:r>
      <w:r w:rsidR="00DA0B84" w:rsidRPr="003D2268">
        <w:rPr>
          <w:rFonts w:ascii="Times New Roman" w:hAnsi="Times New Roman" w:cs="Times New Roman"/>
        </w:rPr>
        <w:t xml:space="preserve"> </w:t>
      </w:r>
      <w:r w:rsidRPr="003D2268">
        <w:rPr>
          <w:rFonts w:ascii="Times New Roman" w:hAnsi="Times New Roman" w:cs="Times New Roman"/>
        </w:rPr>
        <w:t>1(55):</w:t>
      </w:r>
      <w:r w:rsidR="00DA0B84" w:rsidRPr="003D2268">
        <w:rPr>
          <w:rFonts w:ascii="Times New Roman" w:hAnsi="Times New Roman" w:cs="Times New Roman"/>
        </w:rPr>
        <w:t xml:space="preserve"> </w:t>
      </w:r>
      <w:r w:rsidRPr="003D2268">
        <w:rPr>
          <w:rFonts w:ascii="Times New Roman" w:hAnsi="Times New Roman" w:cs="Times New Roman"/>
        </w:rPr>
        <w:t>217-261.</w:t>
      </w:r>
      <w:r w:rsidR="0032562C"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67" w:history="1">
        <w:r w:rsidRPr="003D2268">
          <w:rPr>
            <w:rStyle w:val="Hipervnculo"/>
            <w:rFonts w:ascii="Times New Roman" w:hAnsi="Times New Roman" w:cs="Times New Roman"/>
          </w:rPr>
          <w:t>http://www.scielo.org.mx/pdf/fi/v55n1/0185-013X-fi-55-01-00217.pdf</w:t>
        </w:r>
      </w:hyperlink>
    </w:p>
    <w:p w14:paraId="160F7CF6" w14:textId="2C71210D" w:rsidR="00711B6D" w:rsidRPr="003D2268" w:rsidRDefault="00711B6D" w:rsidP="00711B6D">
      <w:pPr>
        <w:rPr>
          <w:rFonts w:ascii="Times New Roman" w:hAnsi="Times New Roman" w:cs="Times New Roman"/>
        </w:rPr>
      </w:pPr>
      <w:r w:rsidRPr="003D2268">
        <w:rPr>
          <w:rFonts w:ascii="Times New Roman" w:hAnsi="Times New Roman" w:cs="Times New Roman"/>
        </w:rPr>
        <w:t>41.</w:t>
      </w:r>
      <w:r w:rsidRPr="003D2268">
        <w:rPr>
          <w:rFonts w:ascii="Times New Roman" w:hAnsi="Times New Roman" w:cs="Times New Roman"/>
        </w:rPr>
        <w:tab/>
      </w:r>
      <w:r w:rsidR="00DA0B84" w:rsidRPr="003D2268">
        <w:rPr>
          <w:rFonts w:ascii="Times New Roman" w:hAnsi="Times New Roman" w:cs="Times New Roman"/>
        </w:rPr>
        <w:t xml:space="preserve">Instituto Nacional de Salud Pública. </w:t>
      </w:r>
      <w:r w:rsidRPr="003D2268">
        <w:rPr>
          <w:rFonts w:ascii="Times New Roman" w:hAnsi="Times New Roman" w:cs="Times New Roman"/>
        </w:rPr>
        <w:t>Encuesta Naci</w:t>
      </w:r>
      <w:r w:rsidR="0032562C" w:rsidRPr="003D2268">
        <w:rPr>
          <w:rFonts w:ascii="Times New Roman" w:hAnsi="Times New Roman" w:cs="Times New Roman"/>
        </w:rPr>
        <w:t>onal de Salud y Nutrición 2012</w:t>
      </w:r>
      <w:r w:rsidR="005B1EC5" w:rsidRPr="003D2268">
        <w:rPr>
          <w:rFonts w:ascii="Times New Roman" w:hAnsi="Times New Roman" w:cs="Times New Roman"/>
        </w:rPr>
        <w:t>.</w:t>
      </w:r>
      <w:r w:rsidR="0032562C" w:rsidRPr="003D2268">
        <w:rPr>
          <w:rFonts w:ascii="Times New Roman" w:hAnsi="Times New Roman" w:cs="Times New Roman"/>
        </w:rPr>
        <w:t xml:space="preserve"> </w:t>
      </w:r>
      <w:r w:rsidRPr="003D2268">
        <w:rPr>
          <w:rFonts w:ascii="Times New Roman" w:hAnsi="Times New Roman" w:cs="Times New Roman"/>
        </w:rPr>
        <w:t xml:space="preserve">Resultados Nacionales. </w:t>
      </w:r>
      <w:r w:rsidR="00731640" w:rsidRPr="003D2268">
        <w:rPr>
          <w:rFonts w:ascii="Times New Roman" w:hAnsi="Times New Roman" w:cs="Times New Roman"/>
        </w:rPr>
        <w:t>Secretaría de salud,</w:t>
      </w:r>
      <w:r w:rsidRPr="003D2268">
        <w:rPr>
          <w:rFonts w:ascii="Times New Roman" w:hAnsi="Times New Roman" w:cs="Times New Roman"/>
        </w:rPr>
        <w:t xml:space="preserve"> 2012:</w:t>
      </w:r>
      <w:r w:rsidR="00731640" w:rsidRPr="003D2268">
        <w:rPr>
          <w:rFonts w:ascii="Times New Roman" w:hAnsi="Times New Roman" w:cs="Times New Roman"/>
        </w:rPr>
        <w:t xml:space="preserve"> </w:t>
      </w:r>
      <w:r w:rsidRPr="003D2268">
        <w:rPr>
          <w:rFonts w:ascii="Times New Roman" w:hAnsi="Times New Roman" w:cs="Times New Roman"/>
        </w:rPr>
        <w:t xml:space="preserve">1-192. </w:t>
      </w:r>
      <w:r w:rsidR="005B1EC5" w:rsidRPr="003D2268">
        <w:rPr>
          <w:rFonts w:ascii="Times New Roman" w:hAnsi="Times New Roman" w:cs="Times New Roman"/>
        </w:rPr>
        <w:t xml:space="preserve">Disponible en: </w:t>
      </w:r>
      <w:hyperlink r:id="rId68" w:history="1">
        <w:r w:rsidRPr="003D2268">
          <w:rPr>
            <w:rStyle w:val="Hipervnculo"/>
            <w:rFonts w:ascii="Times New Roman" w:hAnsi="Times New Roman" w:cs="Times New Roman"/>
          </w:rPr>
          <w:t>https://ensanut.insp.mx/encuestas/ensanut2012/doctos/informes/ENSANUT2012ResultadosNacionales2Ed.pdf</w:t>
        </w:r>
      </w:hyperlink>
    </w:p>
    <w:p w14:paraId="67615C6B" w14:textId="02A37199" w:rsidR="00D760A7" w:rsidRPr="003D2268" w:rsidRDefault="00711B6D" w:rsidP="00711B6D">
      <w:pPr>
        <w:rPr>
          <w:rFonts w:ascii="Times New Roman" w:hAnsi="Times New Roman" w:cs="Times New Roman"/>
        </w:rPr>
      </w:pPr>
      <w:r w:rsidRPr="003D2268">
        <w:rPr>
          <w:rFonts w:ascii="Times New Roman" w:hAnsi="Times New Roman" w:cs="Times New Roman"/>
        </w:rPr>
        <w:lastRenderedPageBreak/>
        <w:t>42.</w:t>
      </w:r>
      <w:r w:rsidRPr="003D2268">
        <w:rPr>
          <w:rFonts w:ascii="Times New Roman" w:hAnsi="Times New Roman" w:cs="Times New Roman"/>
        </w:rPr>
        <w:tab/>
        <w:t>O</w:t>
      </w:r>
      <w:r w:rsidR="00731640" w:rsidRPr="003D2268">
        <w:rPr>
          <w:rFonts w:ascii="Times New Roman" w:hAnsi="Times New Roman" w:cs="Times New Roman"/>
        </w:rPr>
        <w:t xml:space="preserve">rganización Mundial de la Salud. </w:t>
      </w:r>
      <w:r w:rsidRPr="003D2268">
        <w:rPr>
          <w:rFonts w:ascii="Times New Roman" w:hAnsi="Times New Roman" w:cs="Times New Roman"/>
        </w:rPr>
        <w:t xml:space="preserve">Salud en la Américas.  Introducción: salud universal. </w:t>
      </w:r>
      <w:r w:rsidR="00D760A7" w:rsidRPr="003D2268">
        <w:rPr>
          <w:rFonts w:ascii="Times New Roman" w:hAnsi="Times New Roman" w:cs="Times New Roman"/>
        </w:rPr>
        <w:t xml:space="preserve">Organización Mundial de la Salud, </w:t>
      </w:r>
      <w:r w:rsidRPr="003D2268">
        <w:rPr>
          <w:rFonts w:ascii="Times New Roman" w:hAnsi="Times New Roman" w:cs="Times New Roman"/>
        </w:rPr>
        <w:t>2017.</w:t>
      </w:r>
      <w:r w:rsidR="005B1EC5"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69" w:history="1">
        <w:r w:rsidR="00D760A7" w:rsidRPr="003D2268">
          <w:rPr>
            <w:rStyle w:val="Hipervnculo"/>
            <w:rFonts w:ascii="Times New Roman" w:hAnsi="Times New Roman" w:cs="Times New Roman"/>
          </w:rPr>
          <w:t>https://www.paho.org/salud-en-las-americas-2017/uh-intro.html</w:t>
        </w:r>
      </w:hyperlink>
    </w:p>
    <w:p w14:paraId="1F0BBC12" w14:textId="4CB75BED" w:rsidR="00711B6D" w:rsidRPr="003D2268" w:rsidRDefault="00711B6D" w:rsidP="00711B6D">
      <w:pPr>
        <w:rPr>
          <w:rFonts w:ascii="Times New Roman" w:hAnsi="Times New Roman" w:cs="Times New Roman"/>
        </w:rPr>
      </w:pPr>
      <w:r w:rsidRPr="003D2268">
        <w:rPr>
          <w:rFonts w:ascii="Times New Roman" w:hAnsi="Times New Roman" w:cs="Times New Roman"/>
        </w:rPr>
        <w:t>44.</w:t>
      </w:r>
      <w:r w:rsidRPr="003D2268">
        <w:rPr>
          <w:rFonts w:ascii="Times New Roman" w:hAnsi="Times New Roman" w:cs="Times New Roman"/>
        </w:rPr>
        <w:tab/>
        <w:t xml:space="preserve">Organización </w:t>
      </w:r>
      <w:r w:rsidR="0016655B" w:rsidRPr="003D2268">
        <w:rPr>
          <w:rFonts w:ascii="Times New Roman" w:hAnsi="Times New Roman" w:cs="Times New Roman"/>
        </w:rPr>
        <w:t>Panamericana para la Salud</w:t>
      </w:r>
      <w:r w:rsidRPr="003D2268">
        <w:rPr>
          <w:rFonts w:ascii="Times New Roman" w:hAnsi="Times New Roman" w:cs="Times New Roman"/>
        </w:rPr>
        <w:t>. El primer día de la cobertura universal de salud urge a la “sal</w:t>
      </w:r>
      <w:r w:rsidR="00121977" w:rsidRPr="003D2268">
        <w:rPr>
          <w:rFonts w:ascii="Times New Roman" w:hAnsi="Times New Roman" w:cs="Times New Roman"/>
        </w:rPr>
        <w:t>ud para todos, en todas partes”</w:t>
      </w:r>
      <w:r w:rsidRPr="003D2268">
        <w:rPr>
          <w:rFonts w:ascii="Times New Roman" w:hAnsi="Times New Roman" w:cs="Times New Roman"/>
        </w:rPr>
        <w:t xml:space="preserve">. Organización Panamericana </w:t>
      </w:r>
      <w:r w:rsidR="0016655B" w:rsidRPr="003D2268">
        <w:rPr>
          <w:rFonts w:ascii="Times New Roman" w:hAnsi="Times New Roman" w:cs="Times New Roman"/>
        </w:rPr>
        <w:t>de la Salud,</w:t>
      </w:r>
      <w:r w:rsidRPr="003D2268">
        <w:rPr>
          <w:rFonts w:ascii="Times New Roman" w:hAnsi="Times New Roman" w:cs="Times New Roman"/>
        </w:rPr>
        <w:t xml:space="preserve"> 2014. </w:t>
      </w:r>
      <w:r w:rsidR="005B1EC5" w:rsidRPr="003D2268">
        <w:rPr>
          <w:rFonts w:ascii="Times New Roman" w:hAnsi="Times New Roman" w:cs="Times New Roman"/>
        </w:rPr>
        <w:t xml:space="preserve">Disponible en: </w:t>
      </w:r>
      <w:hyperlink r:id="rId70" w:history="1">
        <w:r w:rsidRPr="003D2268">
          <w:rPr>
            <w:rStyle w:val="Hipervnculo"/>
            <w:rFonts w:ascii="Times New Roman" w:hAnsi="Times New Roman" w:cs="Times New Roman"/>
          </w:rPr>
          <w:t>https://www.paho.org/hq/index.php?option=com_content&amp;view=article&amp;id=10278:2014-first-ever-universal-health-coverage-day-urges-health-for-all-everywhere&amp;Itemid=1926&amp;lang=es</w:t>
        </w:r>
      </w:hyperlink>
    </w:p>
    <w:p w14:paraId="203ABF81" w14:textId="3C3A69C0" w:rsidR="00711B6D" w:rsidRPr="003D2268" w:rsidRDefault="0016655B" w:rsidP="00711B6D">
      <w:pPr>
        <w:rPr>
          <w:rFonts w:ascii="Times New Roman" w:hAnsi="Times New Roman" w:cs="Times New Roman"/>
        </w:rPr>
      </w:pPr>
      <w:r w:rsidRPr="003D2268">
        <w:rPr>
          <w:rFonts w:ascii="Times New Roman" w:hAnsi="Times New Roman" w:cs="Times New Roman"/>
        </w:rPr>
        <w:t>45.</w:t>
      </w:r>
      <w:r w:rsidRPr="003D2268">
        <w:rPr>
          <w:rFonts w:ascii="Times New Roman" w:hAnsi="Times New Roman" w:cs="Times New Roman"/>
        </w:rPr>
        <w:tab/>
        <w:t>Consejo Nacional de Evaluación de la P</w:t>
      </w:r>
      <w:r w:rsidR="00B15163" w:rsidRPr="003D2268">
        <w:rPr>
          <w:rFonts w:ascii="Times New Roman" w:hAnsi="Times New Roman" w:cs="Times New Roman"/>
        </w:rPr>
        <w:t xml:space="preserve">olítica de Desarrollo Social. </w:t>
      </w:r>
      <w:r w:rsidR="00711B6D" w:rsidRPr="003D2268">
        <w:rPr>
          <w:rFonts w:ascii="Times New Roman" w:hAnsi="Times New Roman" w:cs="Times New Roman"/>
        </w:rPr>
        <w:t xml:space="preserve">Estudio Diagnóstico del Derecho a la Vivienda Digna y Decorosa 2018. </w:t>
      </w:r>
      <w:r w:rsidR="00B15163" w:rsidRPr="003D2268">
        <w:rPr>
          <w:rFonts w:ascii="Times New Roman" w:hAnsi="Times New Roman" w:cs="Times New Roman"/>
        </w:rPr>
        <w:t xml:space="preserve">Consejo Nacional de Evaluación de la Política de Desarrollo Social, </w:t>
      </w:r>
      <w:r w:rsidR="007635C5">
        <w:rPr>
          <w:rFonts w:ascii="Times New Roman" w:hAnsi="Times New Roman" w:cs="Times New Roman"/>
        </w:rPr>
        <w:t>2018</w:t>
      </w:r>
      <w:r w:rsidR="00711B6D" w:rsidRPr="003D2268">
        <w:rPr>
          <w:rFonts w:ascii="Times New Roman" w:hAnsi="Times New Roman" w:cs="Times New Roman"/>
        </w:rPr>
        <w:t>:</w:t>
      </w:r>
      <w:r w:rsidR="00B15163" w:rsidRPr="003D2268">
        <w:rPr>
          <w:rFonts w:ascii="Times New Roman" w:hAnsi="Times New Roman" w:cs="Times New Roman"/>
        </w:rPr>
        <w:t xml:space="preserve"> </w:t>
      </w:r>
      <w:r w:rsidR="00711B6D" w:rsidRPr="003D2268">
        <w:rPr>
          <w:rFonts w:ascii="Times New Roman" w:hAnsi="Times New Roman" w:cs="Times New Roman"/>
        </w:rPr>
        <w:t xml:space="preserve">11-170. </w:t>
      </w:r>
      <w:r w:rsidR="00EE7DEB" w:rsidRPr="003D2268">
        <w:rPr>
          <w:rFonts w:ascii="Times New Roman" w:hAnsi="Times New Roman" w:cs="Times New Roman"/>
        </w:rPr>
        <w:t xml:space="preserve">Disponible en: </w:t>
      </w:r>
      <w:hyperlink r:id="rId71" w:history="1">
        <w:r w:rsidR="00711B6D" w:rsidRPr="003D2268">
          <w:rPr>
            <w:rStyle w:val="Hipervnculo"/>
            <w:rFonts w:ascii="Times New Roman" w:hAnsi="Times New Roman" w:cs="Times New Roman"/>
          </w:rPr>
          <w:t>https://www.coneval.org.mx/Evaluacion/IEPSM/Documents/Derechos_Sociales/Estudio_Diag_Vivienda_2018.pdf</w:t>
        </w:r>
      </w:hyperlink>
    </w:p>
    <w:p w14:paraId="08D17DDA" w14:textId="495FBF55" w:rsidR="00711B6D" w:rsidRPr="003D2268" w:rsidRDefault="00711B6D" w:rsidP="00711B6D">
      <w:pPr>
        <w:rPr>
          <w:rFonts w:ascii="Times New Roman" w:hAnsi="Times New Roman" w:cs="Times New Roman"/>
        </w:rPr>
      </w:pPr>
      <w:r w:rsidRPr="003D2268">
        <w:rPr>
          <w:rFonts w:ascii="Times New Roman" w:hAnsi="Times New Roman" w:cs="Times New Roman"/>
        </w:rPr>
        <w:t>46.</w:t>
      </w:r>
      <w:r w:rsidRPr="003D2268">
        <w:rPr>
          <w:rFonts w:ascii="Times New Roman" w:hAnsi="Times New Roman" w:cs="Times New Roman"/>
        </w:rPr>
        <w:tab/>
        <w:t>Morales, C</w:t>
      </w:r>
      <w:r w:rsidR="00B15163" w:rsidRPr="003D2268">
        <w:rPr>
          <w:rFonts w:ascii="Times New Roman" w:hAnsi="Times New Roman" w:cs="Times New Roman"/>
        </w:rPr>
        <w:t>.</w:t>
      </w:r>
      <w:r w:rsidRPr="003D2268">
        <w:rPr>
          <w:rFonts w:ascii="Times New Roman" w:hAnsi="Times New Roman" w:cs="Times New Roman"/>
        </w:rPr>
        <w:t>; Borde, E</w:t>
      </w:r>
      <w:r w:rsidR="00B15163" w:rsidRPr="003D2268">
        <w:rPr>
          <w:rFonts w:ascii="Times New Roman" w:hAnsi="Times New Roman" w:cs="Times New Roman"/>
        </w:rPr>
        <w:t>.</w:t>
      </w:r>
      <w:r w:rsidRPr="003D2268">
        <w:rPr>
          <w:rFonts w:ascii="Times New Roman" w:hAnsi="Times New Roman" w:cs="Times New Roman"/>
        </w:rPr>
        <w:t>; Eslava, J</w:t>
      </w:r>
      <w:r w:rsidR="00CB3E90" w:rsidRPr="003D2268">
        <w:rPr>
          <w:rFonts w:ascii="Times New Roman" w:hAnsi="Times New Roman" w:cs="Times New Roman"/>
        </w:rPr>
        <w:t>.</w:t>
      </w:r>
      <w:r w:rsidRPr="003D2268">
        <w:rPr>
          <w:rFonts w:ascii="Times New Roman" w:hAnsi="Times New Roman" w:cs="Times New Roman"/>
        </w:rPr>
        <w:t xml:space="preserve">; </w:t>
      </w:r>
      <w:r w:rsidR="00CB3E90" w:rsidRPr="003D2268">
        <w:rPr>
          <w:rFonts w:ascii="Times New Roman" w:hAnsi="Times New Roman" w:cs="Times New Roman"/>
        </w:rPr>
        <w:t xml:space="preserve">&amp; </w:t>
      </w:r>
      <w:r w:rsidRPr="003D2268">
        <w:rPr>
          <w:rFonts w:ascii="Times New Roman" w:hAnsi="Times New Roman" w:cs="Times New Roman"/>
        </w:rPr>
        <w:t>Concha, S. ¿Determinación social o determinantes sociales? Diferencias conceptuales e implicacion</w:t>
      </w:r>
      <w:r w:rsidR="007328B1" w:rsidRPr="003D2268">
        <w:rPr>
          <w:rFonts w:ascii="Times New Roman" w:hAnsi="Times New Roman" w:cs="Times New Roman"/>
        </w:rPr>
        <w:t xml:space="preserve">es </w:t>
      </w:r>
      <w:proofErr w:type="spellStart"/>
      <w:r w:rsidR="007328B1" w:rsidRPr="003D2268">
        <w:rPr>
          <w:rFonts w:ascii="Times New Roman" w:hAnsi="Times New Roman" w:cs="Times New Roman"/>
        </w:rPr>
        <w:t>praxeológicas</w:t>
      </w:r>
      <w:proofErr w:type="spellEnd"/>
      <w:r w:rsidR="007328B1" w:rsidRPr="003D2268">
        <w:rPr>
          <w:rFonts w:ascii="Times New Roman" w:hAnsi="Times New Roman" w:cs="Times New Roman"/>
        </w:rPr>
        <w:t>. Salud Pública,</w:t>
      </w:r>
      <w:r w:rsidRPr="003D2268">
        <w:rPr>
          <w:rFonts w:ascii="Times New Roman" w:hAnsi="Times New Roman" w:cs="Times New Roman"/>
        </w:rPr>
        <w:t xml:space="preserve"> 2013;</w:t>
      </w:r>
      <w:r w:rsidR="00CB3E90" w:rsidRPr="003D2268">
        <w:rPr>
          <w:rFonts w:ascii="Times New Roman" w:hAnsi="Times New Roman" w:cs="Times New Roman"/>
        </w:rPr>
        <w:t xml:space="preserve"> </w:t>
      </w:r>
      <w:r w:rsidRPr="003D2268">
        <w:rPr>
          <w:rFonts w:ascii="Times New Roman" w:hAnsi="Times New Roman" w:cs="Times New Roman"/>
        </w:rPr>
        <w:t>15(6):</w:t>
      </w:r>
      <w:r w:rsidR="00CB3E90" w:rsidRPr="003D2268">
        <w:rPr>
          <w:rFonts w:ascii="Times New Roman" w:hAnsi="Times New Roman" w:cs="Times New Roman"/>
        </w:rPr>
        <w:t xml:space="preserve"> </w:t>
      </w:r>
      <w:r w:rsidRPr="003D2268">
        <w:rPr>
          <w:rFonts w:ascii="Times New Roman" w:hAnsi="Times New Roman" w:cs="Times New Roman"/>
        </w:rPr>
        <w:t>797-808.</w:t>
      </w:r>
      <w:r w:rsidR="00EE7DEB" w:rsidRPr="003D2268">
        <w:rPr>
          <w:rFonts w:ascii="Times New Roman" w:hAnsi="Times New Roman" w:cs="Times New Roman"/>
        </w:rPr>
        <w:t xml:space="preserve"> Disponible en:</w:t>
      </w:r>
      <w:r w:rsidRPr="003D2268">
        <w:rPr>
          <w:rFonts w:ascii="Times New Roman" w:hAnsi="Times New Roman" w:cs="Times New Roman"/>
        </w:rPr>
        <w:t xml:space="preserve"> </w:t>
      </w:r>
      <w:hyperlink r:id="rId72" w:history="1">
        <w:r w:rsidRPr="003D2268">
          <w:rPr>
            <w:rStyle w:val="Hipervnculo"/>
            <w:rFonts w:ascii="Times New Roman" w:hAnsi="Times New Roman" w:cs="Times New Roman"/>
          </w:rPr>
          <w:t>http://www.scielo.org.co/pdf/rsap/v15n6/v15n6a03.pdf</w:t>
        </w:r>
      </w:hyperlink>
    </w:p>
    <w:p w14:paraId="67D5BA55" w14:textId="546ACE75" w:rsidR="00711B6D" w:rsidRPr="003D2268" w:rsidRDefault="00711B6D" w:rsidP="00711B6D">
      <w:pPr>
        <w:rPr>
          <w:rFonts w:ascii="Times New Roman" w:hAnsi="Times New Roman" w:cs="Times New Roman"/>
        </w:rPr>
      </w:pPr>
      <w:r w:rsidRPr="003D2268">
        <w:rPr>
          <w:rFonts w:ascii="Times New Roman" w:hAnsi="Times New Roman" w:cs="Times New Roman"/>
        </w:rPr>
        <w:t>47.</w:t>
      </w:r>
      <w:r w:rsidRPr="003D2268">
        <w:rPr>
          <w:rFonts w:ascii="Times New Roman" w:hAnsi="Times New Roman" w:cs="Times New Roman"/>
        </w:rPr>
        <w:tab/>
      </w:r>
      <w:proofErr w:type="spellStart"/>
      <w:r w:rsidRPr="003D2268">
        <w:rPr>
          <w:rFonts w:ascii="Times New Roman" w:hAnsi="Times New Roman" w:cs="Times New Roman"/>
        </w:rPr>
        <w:t>Casallas</w:t>
      </w:r>
      <w:proofErr w:type="spellEnd"/>
      <w:r w:rsidRPr="003D2268">
        <w:rPr>
          <w:rFonts w:ascii="Times New Roman" w:hAnsi="Times New Roman" w:cs="Times New Roman"/>
        </w:rPr>
        <w:t>, A. La medicina social-salud colectiva latinoamericanas: una visión integradora frente</w:t>
      </w:r>
      <w:r w:rsidR="007328B1" w:rsidRPr="003D2268">
        <w:rPr>
          <w:rFonts w:ascii="Times New Roman" w:hAnsi="Times New Roman" w:cs="Times New Roman"/>
        </w:rPr>
        <w:t xml:space="preserve"> a la salud pública tradicional. Revista Ciencias de la Salud,</w:t>
      </w:r>
      <w:r w:rsidRPr="003D2268">
        <w:rPr>
          <w:rFonts w:ascii="Times New Roman" w:hAnsi="Times New Roman" w:cs="Times New Roman"/>
        </w:rPr>
        <w:t xml:space="preserve"> 2017;</w:t>
      </w:r>
      <w:r w:rsidR="007328B1" w:rsidRPr="003D2268">
        <w:rPr>
          <w:rFonts w:ascii="Times New Roman" w:hAnsi="Times New Roman" w:cs="Times New Roman"/>
        </w:rPr>
        <w:t xml:space="preserve"> </w:t>
      </w:r>
      <w:r w:rsidRPr="003D2268">
        <w:rPr>
          <w:rFonts w:ascii="Times New Roman" w:hAnsi="Times New Roman" w:cs="Times New Roman"/>
        </w:rPr>
        <w:t>15(3):</w:t>
      </w:r>
      <w:r w:rsidR="007328B1" w:rsidRPr="003D2268">
        <w:rPr>
          <w:rFonts w:ascii="Times New Roman" w:hAnsi="Times New Roman" w:cs="Times New Roman"/>
        </w:rPr>
        <w:t xml:space="preserve"> </w:t>
      </w:r>
      <w:r w:rsidRPr="003D2268">
        <w:rPr>
          <w:rFonts w:ascii="Times New Roman" w:hAnsi="Times New Roman" w:cs="Times New Roman"/>
        </w:rPr>
        <w:t xml:space="preserve">397-408. </w:t>
      </w:r>
      <w:r w:rsidR="00654387" w:rsidRPr="003D2268">
        <w:rPr>
          <w:rFonts w:ascii="Times New Roman" w:hAnsi="Times New Roman" w:cs="Times New Roman"/>
        </w:rPr>
        <w:t xml:space="preserve">Disponible en: </w:t>
      </w:r>
      <w:hyperlink r:id="rId73" w:history="1">
        <w:r w:rsidRPr="003D2268">
          <w:rPr>
            <w:rStyle w:val="Hipervnculo"/>
            <w:rFonts w:ascii="Times New Roman" w:hAnsi="Times New Roman" w:cs="Times New Roman"/>
          </w:rPr>
          <w:t>https://doi.org/10.12804/revistas.urosario.edu.co/revsalud/a.6123</w:t>
        </w:r>
      </w:hyperlink>
    </w:p>
    <w:p w14:paraId="0D5A3A2E" w14:textId="240B3252" w:rsidR="00711B6D" w:rsidRPr="003D2268" w:rsidRDefault="007328B1" w:rsidP="00711B6D">
      <w:pPr>
        <w:rPr>
          <w:rFonts w:ascii="Times New Roman" w:hAnsi="Times New Roman" w:cs="Times New Roman"/>
        </w:rPr>
      </w:pPr>
      <w:r w:rsidRPr="003D2268">
        <w:rPr>
          <w:rFonts w:ascii="Times New Roman" w:hAnsi="Times New Roman" w:cs="Times New Roman"/>
        </w:rPr>
        <w:t>48.</w:t>
      </w:r>
      <w:r w:rsidRPr="003D2268">
        <w:rPr>
          <w:rFonts w:ascii="Times New Roman" w:hAnsi="Times New Roman" w:cs="Times New Roman"/>
        </w:rPr>
        <w:tab/>
      </w:r>
      <w:proofErr w:type="spellStart"/>
      <w:r w:rsidRPr="003D2268">
        <w:rPr>
          <w:rFonts w:ascii="Times New Roman" w:hAnsi="Times New Roman" w:cs="Times New Roman"/>
        </w:rPr>
        <w:t>Breilh</w:t>
      </w:r>
      <w:proofErr w:type="spellEnd"/>
      <w:r w:rsidRPr="003D2268">
        <w:rPr>
          <w:rFonts w:ascii="Times New Roman" w:hAnsi="Times New Roman" w:cs="Times New Roman"/>
        </w:rPr>
        <w:t>, J</w:t>
      </w:r>
      <w:r w:rsidR="00711B6D" w:rsidRPr="003D2268">
        <w:rPr>
          <w:rFonts w:ascii="Times New Roman" w:hAnsi="Times New Roman" w:cs="Times New Roman"/>
        </w:rPr>
        <w:t>. La determinación social de la salud como herramienta de transformación hacia una nueva salud pública (salud colectiva). Revista Fac</w:t>
      </w:r>
      <w:r w:rsidRPr="003D2268">
        <w:rPr>
          <w:rFonts w:ascii="Times New Roman" w:hAnsi="Times New Roman" w:cs="Times New Roman"/>
        </w:rPr>
        <w:t>ultad Nacional de Salud Pública,</w:t>
      </w:r>
      <w:r w:rsidR="00711B6D" w:rsidRPr="003D2268">
        <w:rPr>
          <w:rFonts w:ascii="Times New Roman" w:hAnsi="Times New Roman" w:cs="Times New Roman"/>
        </w:rPr>
        <w:t xml:space="preserve"> 2013;</w:t>
      </w:r>
      <w:r w:rsidRPr="003D2268">
        <w:rPr>
          <w:rFonts w:ascii="Times New Roman" w:hAnsi="Times New Roman" w:cs="Times New Roman"/>
        </w:rPr>
        <w:t xml:space="preserve"> </w:t>
      </w:r>
      <w:r w:rsidR="00711B6D" w:rsidRPr="003D2268">
        <w:rPr>
          <w:rFonts w:ascii="Times New Roman" w:hAnsi="Times New Roman" w:cs="Times New Roman"/>
        </w:rPr>
        <w:t>31:</w:t>
      </w:r>
      <w:r w:rsidRPr="003D2268">
        <w:rPr>
          <w:rFonts w:ascii="Times New Roman" w:hAnsi="Times New Roman" w:cs="Times New Roman"/>
        </w:rPr>
        <w:t xml:space="preserve"> </w:t>
      </w:r>
      <w:r w:rsidR="00711B6D" w:rsidRPr="003D2268">
        <w:rPr>
          <w:rFonts w:ascii="Times New Roman" w:hAnsi="Times New Roman" w:cs="Times New Roman"/>
        </w:rPr>
        <w:t>13-27.</w:t>
      </w:r>
      <w:r w:rsidR="00A1355E"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74" w:history="1">
        <w:r w:rsidR="00711B6D" w:rsidRPr="003D2268">
          <w:rPr>
            <w:rStyle w:val="Hipervnculo"/>
            <w:rFonts w:ascii="Times New Roman" w:hAnsi="Times New Roman" w:cs="Times New Roman"/>
          </w:rPr>
          <w:t>http://www.scielo.org.co/pdf/rfnsp/v31s1/v31s1a02.pdf</w:t>
        </w:r>
      </w:hyperlink>
    </w:p>
    <w:p w14:paraId="5976AE62" w14:textId="3D3A1EDA" w:rsidR="00711B6D" w:rsidRPr="003D2268" w:rsidRDefault="00711B6D" w:rsidP="00711B6D">
      <w:pPr>
        <w:rPr>
          <w:rFonts w:ascii="Times New Roman" w:hAnsi="Times New Roman" w:cs="Times New Roman"/>
        </w:rPr>
      </w:pPr>
      <w:r w:rsidRPr="003D2268">
        <w:rPr>
          <w:rFonts w:ascii="Times New Roman" w:hAnsi="Times New Roman" w:cs="Times New Roman"/>
        </w:rPr>
        <w:t>49.</w:t>
      </w:r>
      <w:r w:rsidRPr="003D2268">
        <w:rPr>
          <w:rFonts w:ascii="Times New Roman" w:hAnsi="Times New Roman" w:cs="Times New Roman"/>
        </w:rPr>
        <w:tab/>
        <w:t>Bourdieu, P. La distinción, bases y crite</w:t>
      </w:r>
      <w:r w:rsidR="000E54AB" w:rsidRPr="003D2268">
        <w:rPr>
          <w:rFonts w:ascii="Times New Roman" w:hAnsi="Times New Roman" w:cs="Times New Roman"/>
        </w:rPr>
        <w:t>rios sociales del gusto. Taurus,</w:t>
      </w:r>
      <w:r w:rsidRPr="003D2268">
        <w:rPr>
          <w:rFonts w:ascii="Times New Roman" w:hAnsi="Times New Roman" w:cs="Times New Roman"/>
        </w:rPr>
        <w:t xml:space="preserve"> 1998:</w:t>
      </w:r>
      <w:r w:rsidR="000E54AB" w:rsidRPr="003D2268">
        <w:rPr>
          <w:rFonts w:ascii="Times New Roman" w:hAnsi="Times New Roman" w:cs="Times New Roman"/>
        </w:rPr>
        <w:t xml:space="preserve"> </w:t>
      </w:r>
      <w:r w:rsidRPr="003D2268">
        <w:rPr>
          <w:rFonts w:ascii="Times New Roman" w:hAnsi="Times New Roman" w:cs="Times New Roman"/>
        </w:rPr>
        <w:t xml:space="preserve">9-594. </w:t>
      </w:r>
      <w:r w:rsidR="00A1355E" w:rsidRPr="003D2268">
        <w:rPr>
          <w:rFonts w:ascii="Times New Roman" w:hAnsi="Times New Roman" w:cs="Times New Roman"/>
        </w:rPr>
        <w:t xml:space="preserve">Disponible en: </w:t>
      </w:r>
      <w:hyperlink r:id="rId75" w:history="1">
        <w:r w:rsidRPr="003D2268">
          <w:rPr>
            <w:rStyle w:val="Hipervnculo"/>
            <w:rFonts w:ascii="Times New Roman" w:hAnsi="Times New Roman" w:cs="Times New Roman"/>
          </w:rPr>
          <w:t>http://ceiphistorica.com/wp-content/uploads/2016/01/Bourdieu-Pierre-La-distinci%C3%B3n.pdf</w:t>
        </w:r>
      </w:hyperlink>
    </w:p>
    <w:p w14:paraId="390CBDDE" w14:textId="3D14C5A3" w:rsidR="00711B6D" w:rsidRPr="003D2268" w:rsidRDefault="00711B6D" w:rsidP="00711B6D">
      <w:pPr>
        <w:rPr>
          <w:rFonts w:ascii="Times New Roman" w:hAnsi="Times New Roman" w:cs="Times New Roman"/>
        </w:rPr>
      </w:pPr>
      <w:r w:rsidRPr="003D2268">
        <w:rPr>
          <w:rFonts w:ascii="Times New Roman" w:hAnsi="Times New Roman" w:cs="Times New Roman"/>
        </w:rPr>
        <w:t>50.</w:t>
      </w:r>
      <w:r w:rsidRPr="003D2268">
        <w:rPr>
          <w:rFonts w:ascii="Times New Roman" w:hAnsi="Times New Roman" w:cs="Times New Roman"/>
        </w:rPr>
        <w:tab/>
        <w:t>Organización de las Naciones Unidas para la Educación, la Ciencia y la Cultura. Educación para la salud y el bienestar.</w:t>
      </w:r>
      <w:r w:rsidR="0066145E" w:rsidRPr="003D2268">
        <w:rPr>
          <w:rFonts w:ascii="Times New Roman" w:hAnsi="Times New Roman" w:cs="Times New Roman"/>
        </w:rPr>
        <w:t xml:space="preserve"> Organización de las Naciones Unidas para la </w:t>
      </w:r>
      <w:r w:rsidR="00B353DD" w:rsidRPr="003D2268">
        <w:rPr>
          <w:rFonts w:ascii="Times New Roman" w:hAnsi="Times New Roman" w:cs="Times New Roman"/>
        </w:rPr>
        <w:t>Educación, 2009</w:t>
      </w:r>
      <w:r w:rsidR="00A1355E" w:rsidRPr="003D2268">
        <w:rPr>
          <w:rFonts w:ascii="Times New Roman" w:hAnsi="Times New Roman" w:cs="Times New Roman"/>
        </w:rPr>
        <w:t xml:space="preserve">. Disponible en: </w:t>
      </w:r>
      <w:hyperlink r:id="rId76" w:history="1">
        <w:r w:rsidRPr="003D2268">
          <w:rPr>
            <w:rStyle w:val="Hipervnculo"/>
            <w:rFonts w:ascii="Times New Roman" w:hAnsi="Times New Roman" w:cs="Times New Roman"/>
          </w:rPr>
          <w:t>https://es.unesco.org/themes/educacion-salud-y-bienestar</w:t>
        </w:r>
      </w:hyperlink>
    </w:p>
    <w:p w14:paraId="38DCC670" w14:textId="23A633A4" w:rsidR="00711B6D" w:rsidRPr="003D2268" w:rsidRDefault="0014293B" w:rsidP="00711B6D">
      <w:pPr>
        <w:rPr>
          <w:rFonts w:ascii="Times New Roman" w:hAnsi="Times New Roman" w:cs="Times New Roman"/>
        </w:rPr>
      </w:pPr>
      <w:r w:rsidRPr="003D2268">
        <w:rPr>
          <w:rFonts w:ascii="Times New Roman" w:hAnsi="Times New Roman" w:cs="Times New Roman"/>
        </w:rPr>
        <w:t>51.</w:t>
      </w:r>
      <w:r w:rsidRPr="003D2268">
        <w:rPr>
          <w:rFonts w:ascii="Times New Roman" w:hAnsi="Times New Roman" w:cs="Times New Roman"/>
        </w:rPr>
        <w:tab/>
        <w:t>Cardozo, D</w:t>
      </w:r>
      <w:r w:rsidR="00711B6D" w:rsidRPr="003D2268">
        <w:rPr>
          <w:rFonts w:ascii="Times New Roman" w:hAnsi="Times New Roman" w:cs="Times New Roman"/>
        </w:rPr>
        <w:t xml:space="preserve">. Efectos de la educación en los ingresos. </w:t>
      </w:r>
      <w:r w:rsidRPr="003D2268">
        <w:rPr>
          <w:rFonts w:ascii="Times New Roman" w:hAnsi="Times New Roman" w:cs="Times New Roman"/>
        </w:rPr>
        <w:t xml:space="preserve">Revista </w:t>
      </w:r>
      <w:r w:rsidR="00711B6D" w:rsidRPr="003D2268">
        <w:rPr>
          <w:rFonts w:ascii="Times New Roman" w:hAnsi="Times New Roman" w:cs="Times New Roman"/>
        </w:rPr>
        <w:t>Población y desarrollo. 2005;</w:t>
      </w:r>
      <w:r w:rsidRPr="003D2268">
        <w:rPr>
          <w:rFonts w:ascii="Times New Roman" w:hAnsi="Times New Roman" w:cs="Times New Roman"/>
        </w:rPr>
        <w:t xml:space="preserve"> </w:t>
      </w:r>
      <w:r w:rsidR="00711B6D" w:rsidRPr="003D2268">
        <w:rPr>
          <w:rFonts w:ascii="Times New Roman" w:hAnsi="Times New Roman" w:cs="Times New Roman"/>
        </w:rPr>
        <w:t>29:</w:t>
      </w:r>
      <w:r w:rsidRPr="003D2268">
        <w:rPr>
          <w:rFonts w:ascii="Times New Roman" w:hAnsi="Times New Roman" w:cs="Times New Roman"/>
        </w:rPr>
        <w:t xml:space="preserve"> </w:t>
      </w:r>
      <w:r w:rsidR="00711B6D" w:rsidRPr="003D2268">
        <w:rPr>
          <w:rFonts w:ascii="Times New Roman" w:hAnsi="Times New Roman" w:cs="Times New Roman"/>
        </w:rPr>
        <w:t>60-75.</w:t>
      </w:r>
      <w:r w:rsidR="00A1355E" w:rsidRPr="003D2268">
        <w:rPr>
          <w:rFonts w:ascii="Times New Roman" w:hAnsi="Times New Roman" w:cs="Times New Roman"/>
        </w:rPr>
        <w:t xml:space="preserve"> Disponible en:</w:t>
      </w:r>
      <w:r w:rsidR="00711B6D" w:rsidRPr="003D2268">
        <w:rPr>
          <w:rFonts w:ascii="Times New Roman" w:hAnsi="Times New Roman" w:cs="Times New Roman"/>
        </w:rPr>
        <w:t xml:space="preserve"> </w:t>
      </w:r>
      <w:hyperlink r:id="rId77" w:history="1">
        <w:r w:rsidR="00711B6D" w:rsidRPr="003D2268">
          <w:rPr>
            <w:rStyle w:val="Hipervnculo"/>
            <w:rFonts w:ascii="Times New Roman" w:hAnsi="Times New Roman" w:cs="Times New Roman"/>
          </w:rPr>
          <w:t>https://dialnet.unirioja.es/servlet/articulo?codigo=5654300</w:t>
        </w:r>
      </w:hyperlink>
    </w:p>
    <w:p w14:paraId="73C2ED8A" w14:textId="5DF7C286" w:rsidR="00B413AA" w:rsidRPr="003D2268" w:rsidRDefault="00711B6D" w:rsidP="00711B6D">
      <w:pPr>
        <w:rPr>
          <w:rFonts w:ascii="Times New Roman" w:hAnsi="Times New Roman" w:cs="Times New Roman"/>
        </w:rPr>
      </w:pPr>
      <w:r w:rsidRPr="003D2268">
        <w:rPr>
          <w:rFonts w:ascii="Times New Roman" w:hAnsi="Times New Roman" w:cs="Times New Roman"/>
        </w:rPr>
        <w:t>52.</w:t>
      </w:r>
      <w:r w:rsidRPr="003D2268">
        <w:rPr>
          <w:rFonts w:ascii="Times New Roman" w:hAnsi="Times New Roman" w:cs="Times New Roman"/>
        </w:rPr>
        <w:tab/>
        <w:t>Organizació</w:t>
      </w:r>
      <w:r w:rsidR="0014293B" w:rsidRPr="003D2268">
        <w:rPr>
          <w:rFonts w:ascii="Times New Roman" w:hAnsi="Times New Roman" w:cs="Times New Roman"/>
        </w:rPr>
        <w:t>n Panamericana de la Salud</w:t>
      </w:r>
      <w:r w:rsidRPr="003D2268">
        <w:rPr>
          <w:rFonts w:ascii="Times New Roman" w:hAnsi="Times New Roman" w:cs="Times New Roman"/>
        </w:rPr>
        <w:t>. Vivienda Saludable: Reto del Milenio en los Asentamientos Precarios de América Latina y el Caribe. Guía para las Autori</w:t>
      </w:r>
      <w:r w:rsidR="00B413AA" w:rsidRPr="003D2268">
        <w:rPr>
          <w:rFonts w:ascii="Times New Roman" w:hAnsi="Times New Roman" w:cs="Times New Roman"/>
        </w:rPr>
        <w:t>dades Nacionales y Locales. 2006:</w:t>
      </w:r>
      <w:r w:rsidR="008D4020">
        <w:rPr>
          <w:rFonts w:ascii="Times New Roman" w:hAnsi="Times New Roman" w:cs="Times New Roman"/>
        </w:rPr>
        <w:t xml:space="preserve"> </w:t>
      </w:r>
      <w:r w:rsidR="00B413AA" w:rsidRPr="003D2268">
        <w:rPr>
          <w:rFonts w:ascii="Times New Roman" w:hAnsi="Times New Roman" w:cs="Times New Roman"/>
        </w:rPr>
        <w:t>26-50</w:t>
      </w:r>
      <w:r w:rsidRPr="003D2268">
        <w:rPr>
          <w:rFonts w:ascii="Times New Roman" w:hAnsi="Times New Roman" w:cs="Times New Roman"/>
        </w:rPr>
        <w:t xml:space="preserve">. </w:t>
      </w:r>
      <w:r w:rsidR="00A1355E" w:rsidRPr="003D2268">
        <w:rPr>
          <w:rFonts w:ascii="Times New Roman" w:hAnsi="Times New Roman" w:cs="Times New Roman"/>
        </w:rPr>
        <w:t xml:space="preserve">Disponible en: </w:t>
      </w:r>
      <w:hyperlink r:id="rId78" w:history="1">
        <w:r w:rsidR="00B413AA" w:rsidRPr="003D2268">
          <w:rPr>
            <w:rStyle w:val="Hipervnculo"/>
            <w:rFonts w:ascii="Times New Roman" w:hAnsi="Times New Roman" w:cs="Times New Roman"/>
          </w:rPr>
          <w:t>https://docplayer.es/12710041-Reto-del-milenio-en-los-asentamientos-precarios-de-america-latina-y-el-caribe-o-p-t-e-n-o-i-s-a-lu-t-e-p-r-o-v-i-m-u-nd-o-p-p-a-h-p-a-h-o-s-n.html</w:t>
        </w:r>
      </w:hyperlink>
    </w:p>
    <w:p w14:paraId="27F21853" w14:textId="13F56B1B" w:rsidR="000F73BC" w:rsidRDefault="00711B6D" w:rsidP="00711B6D">
      <w:pPr>
        <w:rPr>
          <w:rFonts w:ascii="Times New Roman" w:hAnsi="Times New Roman" w:cs="Times New Roman"/>
        </w:rPr>
      </w:pPr>
      <w:r w:rsidRPr="003D2268">
        <w:rPr>
          <w:rFonts w:ascii="Times New Roman" w:hAnsi="Times New Roman" w:cs="Times New Roman"/>
        </w:rPr>
        <w:t>53.</w:t>
      </w:r>
      <w:r w:rsidRPr="003D2268">
        <w:rPr>
          <w:rFonts w:ascii="Times New Roman" w:hAnsi="Times New Roman" w:cs="Times New Roman"/>
        </w:rPr>
        <w:tab/>
        <w:t xml:space="preserve">Organización Mundial de la Salud (OMS). Salud en la Américas.  Acceso a servicios de </w:t>
      </w:r>
      <w:proofErr w:type="gramStart"/>
      <w:r w:rsidRPr="003D2268">
        <w:rPr>
          <w:rFonts w:ascii="Times New Roman" w:hAnsi="Times New Roman" w:cs="Times New Roman"/>
        </w:rPr>
        <w:t>salud integrales, equitativos</w:t>
      </w:r>
      <w:proofErr w:type="gramEnd"/>
      <w:r w:rsidRPr="003D2268">
        <w:rPr>
          <w:rFonts w:ascii="Times New Roman" w:hAnsi="Times New Roman" w:cs="Times New Roman"/>
        </w:rPr>
        <w:t xml:space="preserve"> y de calidad.</w:t>
      </w:r>
      <w:r w:rsidR="00220453" w:rsidRPr="003D2268">
        <w:rPr>
          <w:rFonts w:ascii="Times New Roman" w:hAnsi="Times New Roman" w:cs="Times New Roman"/>
        </w:rPr>
        <w:t xml:space="preserve"> Organización Mundial de la Salud, </w:t>
      </w:r>
      <w:r w:rsidRPr="003D2268">
        <w:rPr>
          <w:rFonts w:ascii="Times New Roman" w:hAnsi="Times New Roman" w:cs="Times New Roman"/>
        </w:rPr>
        <w:t>2017.</w:t>
      </w:r>
      <w:r w:rsidR="00193C39" w:rsidRPr="003D2268">
        <w:rPr>
          <w:rFonts w:ascii="Times New Roman" w:hAnsi="Times New Roman" w:cs="Times New Roman"/>
        </w:rPr>
        <w:t xml:space="preserve"> </w:t>
      </w:r>
      <w:r w:rsidR="00A1355E" w:rsidRPr="003D2268">
        <w:rPr>
          <w:rFonts w:ascii="Times New Roman" w:hAnsi="Times New Roman" w:cs="Times New Roman"/>
        </w:rPr>
        <w:t>Disponible en:</w:t>
      </w:r>
      <w:r w:rsidR="002516B4" w:rsidRPr="003D2268">
        <w:rPr>
          <w:rFonts w:ascii="Times New Roman" w:hAnsi="Times New Roman" w:cs="Times New Roman"/>
        </w:rPr>
        <w:t xml:space="preserve"> </w:t>
      </w:r>
      <w:hyperlink r:id="rId79" w:history="1">
        <w:r w:rsidR="00193C39" w:rsidRPr="003D2268">
          <w:rPr>
            <w:rStyle w:val="Hipervnculo"/>
            <w:rFonts w:ascii="Times New Roman" w:hAnsi="Times New Roman" w:cs="Times New Roman"/>
          </w:rPr>
          <w:t>https://www.paho.org/salud-en-las-americas-2017/uh-access.html</w:t>
        </w:r>
      </w:hyperlink>
    </w:p>
    <w:p w14:paraId="580F0884" w14:textId="5804843B" w:rsidR="00D87359" w:rsidRPr="006F14E7" w:rsidRDefault="00D87359" w:rsidP="009E3B50">
      <w:pPr>
        <w:spacing w:after="0" w:line="240" w:lineRule="auto"/>
        <w:jc w:val="both"/>
        <w:rPr>
          <w:rFonts w:ascii="Times New Roman" w:hAnsi="Times New Roman" w:cs="Times New Roman"/>
          <w:sz w:val="24"/>
          <w:szCs w:val="24"/>
        </w:rPr>
      </w:pPr>
    </w:p>
    <w:sectPr w:rsidR="00D87359" w:rsidRPr="006F14E7" w:rsidSect="006F14E7">
      <w:headerReference w:type="default" r:id="rId80"/>
      <w:footerReference w:type="default" r:id="rId81"/>
      <w:pgSz w:w="12240" w:h="15840"/>
      <w:pgMar w:top="1701" w:right="1701" w:bottom="1701" w:left="1701"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E8C49" w14:textId="77777777" w:rsidR="006E096F" w:rsidRDefault="006E096F" w:rsidP="006F14E7">
      <w:pPr>
        <w:spacing w:after="0" w:line="240" w:lineRule="auto"/>
      </w:pPr>
      <w:r>
        <w:separator/>
      </w:r>
    </w:p>
  </w:endnote>
  <w:endnote w:type="continuationSeparator" w:id="0">
    <w:p w14:paraId="73274A67" w14:textId="77777777" w:rsidR="006E096F" w:rsidRDefault="006E096F" w:rsidP="006F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dale Sans UI">
    <w:altName w:val="Calibri"/>
    <w:charset w:val="00"/>
    <w:family w:val="auto"/>
    <w:pitch w:val="variable"/>
  </w:font>
  <w:font w:name="Aldus LT Std Roma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4176"/>
      <w:docPartObj>
        <w:docPartGallery w:val="Page Numbers (Bottom of Page)"/>
        <w:docPartUnique/>
      </w:docPartObj>
    </w:sdtPr>
    <w:sdtEndPr/>
    <w:sdtContent>
      <w:p w14:paraId="3AEF0DDF" w14:textId="5D389CFD" w:rsidR="00D02770" w:rsidRDefault="00D02770">
        <w:pPr>
          <w:pStyle w:val="Piedepgina"/>
          <w:jc w:val="right"/>
        </w:pPr>
        <w:r>
          <w:fldChar w:fldCharType="begin"/>
        </w:r>
        <w:r>
          <w:instrText>PAGE   \* MERGEFORMAT</w:instrText>
        </w:r>
        <w:r>
          <w:fldChar w:fldCharType="separate"/>
        </w:r>
        <w:r w:rsidR="00D61F19" w:rsidRPr="00D61F19">
          <w:rPr>
            <w:noProof/>
            <w:lang w:val="es-ES"/>
          </w:rPr>
          <w:t>21</w:t>
        </w:r>
        <w:r>
          <w:fldChar w:fldCharType="end"/>
        </w:r>
      </w:p>
    </w:sdtContent>
  </w:sdt>
  <w:p w14:paraId="1863EA1D" w14:textId="77777777" w:rsidR="00D02770" w:rsidRDefault="00D027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22CF8" w14:textId="77777777" w:rsidR="006E096F" w:rsidRDefault="006E096F" w:rsidP="006F14E7">
      <w:pPr>
        <w:spacing w:after="0" w:line="240" w:lineRule="auto"/>
      </w:pPr>
      <w:r>
        <w:separator/>
      </w:r>
    </w:p>
  </w:footnote>
  <w:footnote w:type="continuationSeparator" w:id="0">
    <w:p w14:paraId="74BD1CF9" w14:textId="77777777" w:rsidR="006E096F" w:rsidRDefault="006E096F" w:rsidP="006F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0AAD" w14:textId="51CF77BC" w:rsidR="00D02770" w:rsidRDefault="00D02770" w:rsidP="006F14E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Revista Salud y Bienestar Colectivo         </w:t>
    </w:r>
    <w:r>
      <w:rPr>
        <w:rFonts w:ascii="Times New Roman" w:eastAsia="Times New Roman" w:hAnsi="Times New Roman" w:cs="Times New Roman"/>
        <w:noProof/>
        <w:color w:val="000000"/>
        <w:lang w:val="es-CL" w:eastAsia="es-CL"/>
      </w:rPr>
      <w:drawing>
        <wp:inline distT="0" distB="0" distL="0" distR="0" wp14:anchorId="1EA68503" wp14:editId="754988B9">
          <wp:extent cx="1645920" cy="1828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5920" cy="182880"/>
                  </a:xfrm>
                  <a:prstGeom prst="rect">
                    <a:avLst/>
                  </a:prstGeom>
                  <a:ln/>
                </pic:spPr>
              </pic:pic>
            </a:graphicData>
          </a:graphic>
        </wp:inline>
      </w:drawing>
    </w:r>
    <w:r>
      <w:rPr>
        <w:rFonts w:ascii="Times New Roman" w:eastAsia="Times New Roman" w:hAnsi="Times New Roman" w:cs="Times New Roman"/>
        <w:color w:val="000000"/>
      </w:rPr>
      <w:t xml:space="preserve">                                                                                                        Mayo-Agosto, 2021. </w:t>
    </w:r>
    <w:proofErr w:type="spellStart"/>
    <w:r>
      <w:rPr>
        <w:rFonts w:ascii="Times New Roman" w:eastAsia="Times New Roman" w:hAnsi="Times New Roman" w:cs="Times New Roman"/>
        <w:color w:val="000000"/>
      </w:rPr>
      <w:t>Vol</w:t>
    </w:r>
    <w:proofErr w:type="spellEnd"/>
    <w:r>
      <w:rPr>
        <w:rFonts w:ascii="Times New Roman" w:eastAsia="Times New Roman" w:hAnsi="Times New Roman" w:cs="Times New Roman"/>
        <w:color w:val="000000"/>
      </w:rPr>
      <w:t xml:space="preserve"> 5, Nº 3                                                                                ISSN 0719-8736</w:t>
    </w:r>
  </w:p>
  <w:p w14:paraId="4EB4F41C" w14:textId="77777777" w:rsidR="00D02770" w:rsidRDefault="00D027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1001"/>
    <w:multiLevelType w:val="hybridMultilevel"/>
    <w:tmpl w:val="129EA578"/>
    <w:lvl w:ilvl="0" w:tplc="6AFA64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C31779"/>
    <w:multiLevelType w:val="hybridMultilevel"/>
    <w:tmpl w:val="EF10F240"/>
    <w:lvl w:ilvl="0" w:tplc="20E67458">
      <w:numFmt w:val="bullet"/>
      <w:lvlText w:val="-"/>
      <w:lvlJc w:val="left"/>
      <w:pPr>
        <w:ind w:left="720" w:hanging="360"/>
      </w:pPr>
      <w:rPr>
        <w:rFonts w:ascii="Arial" w:eastAsiaTheme="minorHAnsi" w:hAnsi="Arial" w:cs="Arial"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BB411B"/>
    <w:multiLevelType w:val="hybridMultilevel"/>
    <w:tmpl w:val="9B9C24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187D10"/>
    <w:multiLevelType w:val="multilevel"/>
    <w:tmpl w:val="696239A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714AB6"/>
    <w:multiLevelType w:val="hybridMultilevel"/>
    <w:tmpl w:val="FCFCFE42"/>
    <w:lvl w:ilvl="0" w:tplc="CFFC7D90">
      <w:start w:val="1"/>
      <w:numFmt w:val="bullet"/>
      <w:lvlText w:val="•"/>
      <w:lvlJc w:val="left"/>
      <w:pPr>
        <w:tabs>
          <w:tab w:val="num" w:pos="720"/>
        </w:tabs>
        <w:ind w:left="720" w:hanging="360"/>
      </w:pPr>
      <w:rPr>
        <w:rFonts w:ascii="Arial" w:hAnsi="Arial" w:hint="default"/>
      </w:rPr>
    </w:lvl>
    <w:lvl w:ilvl="1" w:tplc="643498A2" w:tentative="1">
      <w:start w:val="1"/>
      <w:numFmt w:val="bullet"/>
      <w:lvlText w:val="•"/>
      <w:lvlJc w:val="left"/>
      <w:pPr>
        <w:tabs>
          <w:tab w:val="num" w:pos="1440"/>
        </w:tabs>
        <w:ind w:left="1440" w:hanging="360"/>
      </w:pPr>
      <w:rPr>
        <w:rFonts w:ascii="Arial" w:hAnsi="Arial" w:hint="default"/>
      </w:rPr>
    </w:lvl>
    <w:lvl w:ilvl="2" w:tplc="1E7856BC" w:tentative="1">
      <w:start w:val="1"/>
      <w:numFmt w:val="bullet"/>
      <w:lvlText w:val="•"/>
      <w:lvlJc w:val="left"/>
      <w:pPr>
        <w:tabs>
          <w:tab w:val="num" w:pos="2160"/>
        </w:tabs>
        <w:ind w:left="2160" w:hanging="360"/>
      </w:pPr>
      <w:rPr>
        <w:rFonts w:ascii="Arial" w:hAnsi="Arial" w:hint="default"/>
      </w:rPr>
    </w:lvl>
    <w:lvl w:ilvl="3" w:tplc="DC007F60" w:tentative="1">
      <w:start w:val="1"/>
      <w:numFmt w:val="bullet"/>
      <w:lvlText w:val="•"/>
      <w:lvlJc w:val="left"/>
      <w:pPr>
        <w:tabs>
          <w:tab w:val="num" w:pos="2880"/>
        </w:tabs>
        <w:ind w:left="2880" w:hanging="360"/>
      </w:pPr>
      <w:rPr>
        <w:rFonts w:ascii="Arial" w:hAnsi="Arial" w:hint="default"/>
      </w:rPr>
    </w:lvl>
    <w:lvl w:ilvl="4" w:tplc="E3F614FC" w:tentative="1">
      <w:start w:val="1"/>
      <w:numFmt w:val="bullet"/>
      <w:lvlText w:val="•"/>
      <w:lvlJc w:val="left"/>
      <w:pPr>
        <w:tabs>
          <w:tab w:val="num" w:pos="3600"/>
        </w:tabs>
        <w:ind w:left="3600" w:hanging="360"/>
      </w:pPr>
      <w:rPr>
        <w:rFonts w:ascii="Arial" w:hAnsi="Arial" w:hint="default"/>
      </w:rPr>
    </w:lvl>
    <w:lvl w:ilvl="5" w:tplc="458A14F2" w:tentative="1">
      <w:start w:val="1"/>
      <w:numFmt w:val="bullet"/>
      <w:lvlText w:val="•"/>
      <w:lvlJc w:val="left"/>
      <w:pPr>
        <w:tabs>
          <w:tab w:val="num" w:pos="4320"/>
        </w:tabs>
        <w:ind w:left="4320" w:hanging="360"/>
      </w:pPr>
      <w:rPr>
        <w:rFonts w:ascii="Arial" w:hAnsi="Arial" w:hint="default"/>
      </w:rPr>
    </w:lvl>
    <w:lvl w:ilvl="6" w:tplc="EF6EE9A6" w:tentative="1">
      <w:start w:val="1"/>
      <w:numFmt w:val="bullet"/>
      <w:lvlText w:val="•"/>
      <w:lvlJc w:val="left"/>
      <w:pPr>
        <w:tabs>
          <w:tab w:val="num" w:pos="5040"/>
        </w:tabs>
        <w:ind w:left="5040" w:hanging="360"/>
      </w:pPr>
      <w:rPr>
        <w:rFonts w:ascii="Arial" w:hAnsi="Arial" w:hint="default"/>
      </w:rPr>
    </w:lvl>
    <w:lvl w:ilvl="7" w:tplc="15E8D5DC" w:tentative="1">
      <w:start w:val="1"/>
      <w:numFmt w:val="bullet"/>
      <w:lvlText w:val="•"/>
      <w:lvlJc w:val="left"/>
      <w:pPr>
        <w:tabs>
          <w:tab w:val="num" w:pos="5760"/>
        </w:tabs>
        <w:ind w:left="5760" w:hanging="360"/>
      </w:pPr>
      <w:rPr>
        <w:rFonts w:ascii="Arial" w:hAnsi="Arial" w:hint="default"/>
      </w:rPr>
    </w:lvl>
    <w:lvl w:ilvl="8" w:tplc="D19A86D6" w:tentative="1">
      <w:start w:val="1"/>
      <w:numFmt w:val="bullet"/>
      <w:lvlText w:val="•"/>
      <w:lvlJc w:val="left"/>
      <w:pPr>
        <w:tabs>
          <w:tab w:val="num" w:pos="6480"/>
        </w:tabs>
        <w:ind w:left="6480" w:hanging="360"/>
      </w:pPr>
      <w:rPr>
        <w:rFonts w:ascii="Arial" w:hAnsi="Arial" w:hint="default"/>
      </w:rPr>
    </w:lvl>
  </w:abstractNum>
  <w:abstractNum w:abstractNumId="5">
    <w:nsid w:val="19366623"/>
    <w:multiLevelType w:val="hybridMultilevel"/>
    <w:tmpl w:val="1D4EC430"/>
    <w:lvl w:ilvl="0" w:tplc="51F48E6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7E7600"/>
    <w:multiLevelType w:val="hybridMultilevel"/>
    <w:tmpl w:val="FFA4C418"/>
    <w:lvl w:ilvl="0" w:tplc="AF8065E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102CA4"/>
    <w:multiLevelType w:val="hybridMultilevel"/>
    <w:tmpl w:val="7868D0D2"/>
    <w:lvl w:ilvl="0" w:tplc="B6C8B64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C34A85"/>
    <w:multiLevelType w:val="hybridMultilevel"/>
    <w:tmpl w:val="03AC5622"/>
    <w:lvl w:ilvl="0" w:tplc="AF8065E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11550B"/>
    <w:multiLevelType w:val="hybridMultilevel"/>
    <w:tmpl w:val="9B9C24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0D60F7"/>
    <w:multiLevelType w:val="hybridMultilevel"/>
    <w:tmpl w:val="B7C0E7CE"/>
    <w:lvl w:ilvl="0" w:tplc="52A2AB9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D94DF8"/>
    <w:multiLevelType w:val="hybridMultilevel"/>
    <w:tmpl w:val="D6FAB9A4"/>
    <w:lvl w:ilvl="0" w:tplc="70DC0788">
      <w:start w:val="1"/>
      <w:numFmt w:val="bullet"/>
      <w:lvlText w:val="•"/>
      <w:lvlJc w:val="left"/>
      <w:pPr>
        <w:tabs>
          <w:tab w:val="num" w:pos="720"/>
        </w:tabs>
        <w:ind w:left="720" w:hanging="360"/>
      </w:pPr>
      <w:rPr>
        <w:rFonts w:ascii="Arial" w:hAnsi="Arial" w:hint="default"/>
      </w:rPr>
    </w:lvl>
    <w:lvl w:ilvl="1" w:tplc="5C9EACE6" w:tentative="1">
      <w:start w:val="1"/>
      <w:numFmt w:val="bullet"/>
      <w:lvlText w:val="•"/>
      <w:lvlJc w:val="left"/>
      <w:pPr>
        <w:tabs>
          <w:tab w:val="num" w:pos="1440"/>
        </w:tabs>
        <w:ind w:left="1440" w:hanging="360"/>
      </w:pPr>
      <w:rPr>
        <w:rFonts w:ascii="Arial" w:hAnsi="Arial" w:hint="default"/>
      </w:rPr>
    </w:lvl>
    <w:lvl w:ilvl="2" w:tplc="67B03FD2" w:tentative="1">
      <w:start w:val="1"/>
      <w:numFmt w:val="bullet"/>
      <w:lvlText w:val="•"/>
      <w:lvlJc w:val="left"/>
      <w:pPr>
        <w:tabs>
          <w:tab w:val="num" w:pos="2160"/>
        </w:tabs>
        <w:ind w:left="2160" w:hanging="360"/>
      </w:pPr>
      <w:rPr>
        <w:rFonts w:ascii="Arial" w:hAnsi="Arial" w:hint="default"/>
      </w:rPr>
    </w:lvl>
    <w:lvl w:ilvl="3" w:tplc="CE94C11C" w:tentative="1">
      <w:start w:val="1"/>
      <w:numFmt w:val="bullet"/>
      <w:lvlText w:val="•"/>
      <w:lvlJc w:val="left"/>
      <w:pPr>
        <w:tabs>
          <w:tab w:val="num" w:pos="2880"/>
        </w:tabs>
        <w:ind w:left="2880" w:hanging="360"/>
      </w:pPr>
      <w:rPr>
        <w:rFonts w:ascii="Arial" w:hAnsi="Arial" w:hint="default"/>
      </w:rPr>
    </w:lvl>
    <w:lvl w:ilvl="4" w:tplc="EAEE2EFA" w:tentative="1">
      <w:start w:val="1"/>
      <w:numFmt w:val="bullet"/>
      <w:lvlText w:val="•"/>
      <w:lvlJc w:val="left"/>
      <w:pPr>
        <w:tabs>
          <w:tab w:val="num" w:pos="3600"/>
        </w:tabs>
        <w:ind w:left="3600" w:hanging="360"/>
      </w:pPr>
      <w:rPr>
        <w:rFonts w:ascii="Arial" w:hAnsi="Arial" w:hint="default"/>
      </w:rPr>
    </w:lvl>
    <w:lvl w:ilvl="5" w:tplc="9BE66F74" w:tentative="1">
      <w:start w:val="1"/>
      <w:numFmt w:val="bullet"/>
      <w:lvlText w:val="•"/>
      <w:lvlJc w:val="left"/>
      <w:pPr>
        <w:tabs>
          <w:tab w:val="num" w:pos="4320"/>
        </w:tabs>
        <w:ind w:left="4320" w:hanging="360"/>
      </w:pPr>
      <w:rPr>
        <w:rFonts w:ascii="Arial" w:hAnsi="Arial" w:hint="default"/>
      </w:rPr>
    </w:lvl>
    <w:lvl w:ilvl="6" w:tplc="528A059C" w:tentative="1">
      <w:start w:val="1"/>
      <w:numFmt w:val="bullet"/>
      <w:lvlText w:val="•"/>
      <w:lvlJc w:val="left"/>
      <w:pPr>
        <w:tabs>
          <w:tab w:val="num" w:pos="5040"/>
        </w:tabs>
        <w:ind w:left="5040" w:hanging="360"/>
      </w:pPr>
      <w:rPr>
        <w:rFonts w:ascii="Arial" w:hAnsi="Arial" w:hint="default"/>
      </w:rPr>
    </w:lvl>
    <w:lvl w:ilvl="7" w:tplc="7DCEC7A0" w:tentative="1">
      <w:start w:val="1"/>
      <w:numFmt w:val="bullet"/>
      <w:lvlText w:val="•"/>
      <w:lvlJc w:val="left"/>
      <w:pPr>
        <w:tabs>
          <w:tab w:val="num" w:pos="5760"/>
        </w:tabs>
        <w:ind w:left="5760" w:hanging="360"/>
      </w:pPr>
      <w:rPr>
        <w:rFonts w:ascii="Arial" w:hAnsi="Arial" w:hint="default"/>
      </w:rPr>
    </w:lvl>
    <w:lvl w:ilvl="8" w:tplc="D3528768" w:tentative="1">
      <w:start w:val="1"/>
      <w:numFmt w:val="bullet"/>
      <w:lvlText w:val="•"/>
      <w:lvlJc w:val="left"/>
      <w:pPr>
        <w:tabs>
          <w:tab w:val="num" w:pos="6480"/>
        </w:tabs>
        <w:ind w:left="6480" w:hanging="360"/>
      </w:pPr>
      <w:rPr>
        <w:rFonts w:ascii="Arial" w:hAnsi="Arial" w:hint="default"/>
      </w:rPr>
    </w:lvl>
  </w:abstractNum>
  <w:abstractNum w:abstractNumId="12">
    <w:nsid w:val="46087551"/>
    <w:multiLevelType w:val="hybridMultilevel"/>
    <w:tmpl w:val="02EC981A"/>
    <w:lvl w:ilvl="0" w:tplc="F2C0676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ED2E99"/>
    <w:multiLevelType w:val="hybridMultilevel"/>
    <w:tmpl w:val="A4F00624"/>
    <w:lvl w:ilvl="0" w:tplc="EC72673C">
      <w:start w:val="1"/>
      <w:numFmt w:val="bullet"/>
      <w:lvlText w:val="•"/>
      <w:lvlJc w:val="left"/>
      <w:pPr>
        <w:tabs>
          <w:tab w:val="num" w:pos="720"/>
        </w:tabs>
        <w:ind w:left="720" w:hanging="360"/>
      </w:pPr>
      <w:rPr>
        <w:rFonts w:ascii="Arial" w:hAnsi="Arial" w:hint="default"/>
      </w:rPr>
    </w:lvl>
    <w:lvl w:ilvl="1" w:tplc="F0BAACAA" w:tentative="1">
      <w:start w:val="1"/>
      <w:numFmt w:val="bullet"/>
      <w:lvlText w:val="•"/>
      <w:lvlJc w:val="left"/>
      <w:pPr>
        <w:tabs>
          <w:tab w:val="num" w:pos="1440"/>
        </w:tabs>
        <w:ind w:left="1440" w:hanging="360"/>
      </w:pPr>
      <w:rPr>
        <w:rFonts w:ascii="Arial" w:hAnsi="Arial" w:hint="default"/>
      </w:rPr>
    </w:lvl>
    <w:lvl w:ilvl="2" w:tplc="89867634" w:tentative="1">
      <w:start w:val="1"/>
      <w:numFmt w:val="bullet"/>
      <w:lvlText w:val="•"/>
      <w:lvlJc w:val="left"/>
      <w:pPr>
        <w:tabs>
          <w:tab w:val="num" w:pos="2160"/>
        </w:tabs>
        <w:ind w:left="2160" w:hanging="360"/>
      </w:pPr>
      <w:rPr>
        <w:rFonts w:ascii="Arial" w:hAnsi="Arial" w:hint="default"/>
      </w:rPr>
    </w:lvl>
    <w:lvl w:ilvl="3" w:tplc="204677A4" w:tentative="1">
      <w:start w:val="1"/>
      <w:numFmt w:val="bullet"/>
      <w:lvlText w:val="•"/>
      <w:lvlJc w:val="left"/>
      <w:pPr>
        <w:tabs>
          <w:tab w:val="num" w:pos="2880"/>
        </w:tabs>
        <w:ind w:left="2880" w:hanging="360"/>
      </w:pPr>
      <w:rPr>
        <w:rFonts w:ascii="Arial" w:hAnsi="Arial" w:hint="default"/>
      </w:rPr>
    </w:lvl>
    <w:lvl w:ilvl="4" w:tplc="354ACEBA" w:tentative="1">
      <w:start w:val="1"/>
      <w:numFmt w:val="bullet"/>
      <w:lvlText w:val="•"/>
      <w:lvlJc w:val="left"/>
      <w:pPr>
        <w:tabs>
          <w:tab w:val="num" w:pos="3600"/>
        </w:tabs>
        <w:ind w:left="3600" w:hanging="360"/>
      </w:pPr>
      <w:rPr>
        <w:rFonts w:ascii="Arial" w:hAnsi="Arial" w:hint="default"/>
      </w:rPr>
    </w:lvl>
    <w:lvl w:ilvl="5" w:tplc="396C73C0" w:tentative="1">
      <w:start w:val="1"/>
      <w:numFmt w:val="bullet"/>
      <w:lvlText w:val="•"/>
      <w:lvlJc w:val="left"/>
      <w:pPr>
        <w:tabs>
          <w:tab w:val="num" w:pos="4320"/>
        </w:tabs>
        <w:ind w:left="4320" w:hanging="360"/>
      </w:pPr>
      <w:rPr>
        <w:rFonts w:ascii="Arial" w:hAnsi="Arial" w:hint="default"/>
      </w:rPr>
    </w:lvl>
    <w:lvl w:ilvl="6" w:tplc="227097C8" w:tentative="1">
      <w:start w:val="1"/>
      <w:numFmt w:val="bullet"/>
      <w:lvlText w:val="•"/>
      <w:lvlJc w:val="left"/>
      <w:pPr>
        <w:tabs>
          <w:tab w:val="num" w:pos="5040"/>
        </w:tabs>
        <w:ind w:left="5040" w:hanging="360"/>
      </w:pPr>
      <w:rPr>
        <w:rFonts w:ascii="Arial" w:hAnsi="Arial" w:hint="default"/>
      </w:rPr>
    </w:lvl>
    <w:lvl w:ilvl="7" w:tplc="6172DA36" w:tentative="1">
      <w:start w:val="1"/>
      <w:numFmt w:val="bullet"/>
      <w:lvlText w:val="•"/>
      <w:lvlJc w:val="left"/>
      <w:pPr>
        <w:tabs>
          <w:tab w:val="num" w:pos="5760"/>
        </w:tabs>
        <w:ind w:left="5760" w:hanging="360"/>
      </w:pPr>
      <w:rPr>
        <w:rFonts w:ascii="Arial" w:hAnsi="Arial" w:hint="default"/>
      </w:rPr>
    </w:lvl>
    <w:lvl w:ilvl="8" w:tplc="EF3A19CA" w:tentative="1">
      <w:start w:val="1"/>
      <w:numFmt w:val="bullet"/>
      <w:lvlText w:val="•"/>
      <w:lvlJc w:val="left"/>
      <w:pPr>
        <w:tabs>
          <w:tab w:val="num" w:pos="6480"/>
        </w:tabs>
        <w:ind w:left="6480" w:hanging="360"/>
      </w:pPr>
      <w:rPr>
        <w:rFonts w:ascii="Arial" w:hAnsi="Arial" w:hint="default"/>
      </w:rPr>
    </w:lvl>
  </w:abstractNum>
  <w:abstractNum w:abstractNumId="14">
    <w:nsid w:val="482333C9"/>
    <w:multiLevelType w:val="hybridMultilevel"/>
    <w:tmpl w:val="B7C0E7CE"/>
    <w:lvl w:ilvl="0" w:tplc="52A2AB9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A26EE8"/>
    <w:multiLevelType w:val="hybridMultilevel"/>
    <w:tmpl w:val="2F982030"/>
    <w:lvl w:ilvl="0" w:tplc="29A862E4">
      <w:start w:val="1"/>
      <w:numFmt w:val="decimal"/>
      <w:lvlText w:val="%1."/>
      <w:lvlJc w:val="left"/>
      <w:pPr>
        <w:ind w:left="720" w:hanging="360"/>
      </w:pPr>
      <w:rPr>
        <w:b w:val="0"/>
        <w:bCs w:val="0"/>
        <w:i w:val="0"/>
        <w:iCs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C6475F"/>
    <w:multiLevelType w:val="hybridMultilevel"/>
    <w:tmpl w:val="909086F0"/>
    <w:lvl w:ilvl="0" w:tplc="AF8065E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08E2AF3"/>
    <w:multiLevelType w:val="hybridMultilevel"/>
    <w:tmpl w:val="BE649F44"/>
    <w:lvl w:ilvl="0" w:tplc="6A7A6A6A">
      <w:start w:val="1"/>
      <w:numFmt w:val="bullet"/>
      <w:lvlText w:val="-"/>
      <w:lvlJc w:val="left"/>
      <w:pPr>
        <w:tabs>
          <w:tab w:val="num" w:pos="720"/>
        </w:tabs>
        <w:ind w:left="720" w:hanging="360"/>
      </w:pPr>
      <w:rPr>
        <w:rFonts w:ascii="Calibri" w:hAnsi="Calibri" w:hint="default"/>
      </w:rPr>
    </w:lvl>
    <w:lvl w:ilvl="1" w:tplc="C5E4567A" w:tentative="1">
      <w:start w:val="1"/>
      <w:numFmt w:val="bullet"/>
      <w:lvlText w:val="-"/>
      <w:lvlJc w:val="left"/>
      <w:pPr>
        <w:tabs>
          <w:tab w:val="num" w:pos="1440"/>
        </w:tabs>
        <w:ind w:left="1440" w:hanging="360"/>
      </w:pPr>
      <w:rPr>
        <w:rFonts w:ascii="Calibri" w:hAnsi="Calibri" w:hint="default"/>
      </w:rPr>
    </w:lvl>
    <w:lvl w:ilvl="2" w:tplc="19649134" w:tentative="1">
      <w:start w:val="1"/>
      <w:numFmt w:val="bullet"/>
      <w:lvlText w:val="-"/>
      <w:lvlJc w:val="left"/>
      <w:pPr>
        <w:tabs>
          <w:tab w:val="num" w:pos="2160"/>
        </w:tabs>
        <w:ind w:left="2160" w:hanging="360"/>
      </w:pPr>
      <w:rPr>
        <w:rFonts w:ascii="Calibri" w:hAnsi="Calibri" w:hint="default"/>
      </w:rPr>
    </w:lvl>
    <w:lvl w:ilvl="3" w:tplc="0CA8F1BA" w:tentative="1">
      <w:start w:val="1"/>
      <w:numFmt w:val="bullet"/>
      <w:lvlText w:val="-"/>
      <w:lvlJc w:val="left"/>
      <w:pPr>
        <w:tabs>
          <w:tab w:val="num" w:pos="2880"/>
        </w:tabs>
        <w:ind w:left="2880" w:hanging="360"/>
      </w:pPr>
      <w:rPr>
        <w:rFonts w:ascii="Calibri" w:hAnsi="Calibri" w:hint="default"/>
      </w:rPr>
    </w:lvl>
    <w:lvl w:ilvl="4" w:tplc="ECA66464" w:tentative="1">
      <w:start w:val="1"/>
      <w:numFmt w:val="bullet"/>
      <w:lvlText w:val="-"/>
      <w:lvlJc w:val="left"/>
      <w:pPr>
        <w:tabs>
          <w:tab w:val="num" w:pos="3600"/>
        </w:tabs>
        <w:ind w:left="3600" w:hanging="360"/>
      </w:pPr>
      <w:rPr>
        <w:rFonts w:ascii="Calibri" w:hAnsi="Calibri" w:hint="default"/>
      </w:rPr>
    </w:lvl>
    <w:lvl w:ilvl="5" w:tplc="D3829FBA" w:tentative="1">
      <w:start w:val="1"/>
      <w:numFmt w:val="bullet"/>
      <w:lvlText w:val="-"/>
      <w:lvlJc w:val="left"/>
      <w:pPr>
        <w:tabs>
          <w:tab w:val="num" w:pos="4320"/>
        </w:tabs>
        <w:ind w:left="4320" w:hanging="360"/>
      </w:pPr>
      <w:rPr>
        <w:rFonts w:ascii="Calibri" w:hAnsi="Calibri" w:hint="default"/>
      </w:rPr>
    </w:lvl>
    <w:lvl w:ilvl="6" w:tplc="18E09FE0" w:tentative="1">
      <w:start w:val="1"/>
      <w:numFmt w:val="bullet"/>
      <w:lvlText w:val="-"/>
      <w:lvlJc w:val="left"/>
      <w:pPr>
        <w:tabs>
          <w:tab w:val="num" w:pos="5040"/>
        </w:tabs>
        <w:ind w:left="5040" w:hanging="360"/>
      </w:pPr>
      <w:rPr>
        <w:rFonts w:ascii="Calibri" w:hAnsi="Calibri" w:hint="default"/>
      </w:rPr>
    </w:lvl>
    <w:lvl w:ilvl="7" w:tplc="CFDCBEF4" w:tentative="1">
      <w:start w:val="1"/>
      <w:numFmt w:val="bullet"/>
      <w:lvlText w:val="-"/>
      <w:lvlJc w:val="left"/>
      <w:pPr>
        <w:tabs>
          <w:tab w:val="num" w:pos="5760"/>
        </w:tabs>
        <w:ind w:left="5760" w:hanging="360"/>
      </w:pPr>
      <w:rPr>
        <w:rFonts w:ascii="Calibri" w:hAnsi="Calibri" w:hint="default"/>
      </w:rPr>
    </w:lvl>
    <w:lvl w:ilvl="8" w:tplc="1480F3EC" w:tentative="1">
      <w:start w:val="1"/>
      <w:numFmt w:val="bullet"/>
      <w:lvlText w:val="-"/>
      <w:lvlJc w:val="left"/>
      <w:pPr>
        <w:tabs>
          <w:tab w:val="num" w:pos="6480"/>
        </w:tabs>
        <w:ind w:left="6480" w:hanging="360"/>
      </w:pPr>
      <w:rPr>
        <w:rFonts w:ascii="Calibri" w:hAnsi="Calibri" w:hint="default"/>
      </w:rPr>
    </w:lvl>
  </w:abstractNum>
  <w:abstractNum w:abstractNumId="18">
    <w:nsid w:val="66CC65B4"/>
    <w:multiLevelType w:val="hybridMultilevel"/>
    <w:tmpl w:val="79D2F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890E52"/>
    <w:multiLevelType w:val="hybridMultilevel"/>
    <w:tmpl w:val="47027902"/>
    <w:lvl w:ilvl="0" w:tplc="B3AEA208">
      <w:start w:val="1"/>
      <w:numFmt w:val="bullet"/>
      <w:lvlText w:val="•"/>
      <w:lvlJc w:val="left"/>
      <w:pPr>
        <w:tabs>
          <w:tab w:val="num" w:pos="720"/>
        </w:tabs>
        <w:ind w:left="720" w:hanging="360"/>
      </w:pPr>
      <w:rPr>
        <w:rFonts w:ascii="Arial" w:hAnsi="Arial" w:hint="default"/>
      </w:rPr>
    </w:lvl>
    <w:lvl w:ilvl="1" w:tplc="B0460C8A" w:tentative="1">
      <w:start w:val="1"/>
      <w:numFmt w:val="bullet"/>
      <w:lvlText w:val="•"/>
      <w:lvlJc w:val="left"/>
      <w:pPr>
        <w:tabs>
          <w:tab w:val="num" w:pos="1440"/>
        </w:tabs>
        <w:ind w:left="1440" w:hanging="360"/>
      </w:pPr>
      <w:rPr>
        <w:rFonts w:ascii="Arial" w:hAnsi="Arial" w:hint="default"/>
      </w:rPr>
    </w:lvl>
    <w:lvl w:ilvl="2" w:tplc="783E6EEA" w:tentative="1">
      <w:start w:val="1"/>
      <w:numFmt w:val="bullet"/>
      <w:lvlText w:val="•"/>
      <w:lvlJc w:val="left"/>
      <w:pPr>
        <w:tabs>
          <w:tab w:val="num" w:pos="2160"/>
        </w:tabs>
        <w:ind w:left="2160" w:hanging="360"/>
      </w:pPr>
      <w:rPr>
        <w:rFonts w:ascii="Arial" w:hAnsi="Arial" w:hint="default"/>
      </w:rPr>
    </w:lvl>
    <w:lvl w:ilvl="3" w:tplc="8AB0FB1C" w:tentative="1">
      <w:start w:val="1"/>
      <w:numFmt w:val="bullet"/>
      <w:lvlText w:val="•"/>
      <w:lvlJc w:val="left"/>
      <w:pPr>
        <w:tabs>
          <w:tab w:val="num" w:pos="2880"/>
        </w:tabs>
        <w:ind w:left="2880" w:hanging="360"/>
      </w:pPr>
      <w:rPr>
        <w:rFonts w:ascii="Arial" w:hAnsi="Arial" w:hint="default"/>
      </w:rPr>
    </w:lvl>
    <w:lvl w:ilvl="4" w:tplc="1B445090" w:tentative="1">
      <w:start w:val="1"/>
      <w:numFmt w:val="bullet"/>
      <w:lvlText w:val="•"/>
      <w:lvlJc w:val="left"/>
      <w:pPr>
        <w:tabs>
          <w:tab w:val="num" w:pos="3600"/>
        </w:tabs>
        <w:ind w:left="3600" w:hanging="360"/>
      </w:pPr>
      <w:rPr>
        <w:rFonts w:ascii="Arial" w:hAnsi="Arial" w:hint="default"/>
      </w:rPr>
    </w:lvl>
    <w:lvl w:ilvl="5" w:tplc="1958ADF2" w:tentative="1">
      <w:start w:val="1"/>
      <w:numFmt w:val="bullet"/>
      <w:lvlText w:val="•"/>
      <w:lvlJc w:val="left"/>
      <w:pPr>
        <w:tabs>
          <w:tab w:val="num" w:pos="4320"/>
        </w:tabs>
        <w:ind w:left="4320" w:hanging="360"/>
      </w:pPr>
      <w:rPr>
        <w:rFonts w:ascii="Arial" w:hAnsi="Arial" w:hint="default"/>
      </w:rPr>
    </w:lvl>
    <w:lvl w:ilvl="6" w:tplc="AF26F650" w:tentative="1">
      <w:start w:val="1"/>
      <w:numFmt w:val="bullet"/>
      <w:lvlText w:val="•"/>
      <w:lvlJc w:val="left"/>
      <w:pPr>
        <w:tabs>
          <w:tab w:val="num" w:pos="5040"/>
        </w:tabs>
        <w:ind w:left="5040" w:hanging="360"/>
      </w:pPr>
      <w:rPr>
        <w:rFonts w:ascii="Arial" w:hAnsi="Arial" w:hint="default"/>
      </w:rPr>
    </w:lvl>
    <w:lvl w:ilvl="7" w:tplc="07FE00C4" w:tentative="1">
      <w:start w:val="1"/>
      <w:numFmt w:val="bullet"/>
      <w:lvlText w:val="•"/>
      <w:lvlJc w:val="left"/>
      <w:pPr>
        <w:tabs>
          <w:tab w:val="num" w:pos="5760"/>
        </w:tabs>
        <w:ind w:left="5760" w:hanging="360"/>
      </w:pPr>
      <w:rPr>
        <w:rFonts w:ascii="Arial" w:hAnsi="Arial" w:hint="default"/>
      </w:rPr>
    </w:lvl>
    <w:lvl w:ilvl="8" w:tplc="AB0ECD00" w:tentative="1">
      <w:start w:val="1"/>
      <w:numFmt w:val="bullet"/>
      <w:lvlText w:val="•"/>
      <w:lvlJc w:val="left"/>
      <w:pPr>
        <w:tabs>
          <w:tab w:val="num" w:pos="6480"/>
        </w:tabs>
        <w:ind w:left="6480" w:hanging="360"/>
      </w:pPr>
      <w:rPr>
        <w:rFonts w:ascii="Arial" w:hAnsi="Arial" w:hint="default"/>
      </w:rPr>
    </w:lvl>
  </w:abstractNum>
  <w:abstractNum w:abstractNumId="20">
    <w:nsid w:val="6B4A4D88"/>
    <w:multiLevelType w:val="hybridMultilevel"/>
    <w:tmpl w:val="B7C0E7CE"/>
    <w:lvl w:ilvl="0" w:tplc="52A2AB9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32276F"/>
    <w:multiLevelType w:val="hybridMultilevel"/>
    <w:tmpl w:val="4F340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E70C16"/>
    <w:multiLevelType w:val="hybridMultilevel"/>
    <w:tmpl w:val="D278F1B8"/>
    <w:lvl w:ilvl="0" w:tplc="5112A5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FE0FB9"/>
    <w:multiLevelType w:val="hybridMultilevel"/>
    <w:tmpl w:val="C63C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4"/>
  </w:num>
  <w:num w:numId="5">
    <w:abstractNumId w:val="21"/>
  </w:num>
  <w:num w:numId="6">
    <w:abstractNumId w:val="6"/>
  </w:num>
  <w:num w:numId="7">
    <w:abstractNumId w:val="10"/>
  </w:num>
  <w:num w:numId="8">
    <w:abstractNumId w:val="23"/>
  </w:num>
  <w:num w:numId="9">
    <w:abstractNumId w:val="8"/>
  </w:num>
  <w:num w:numId="10">
    <w:abstractNumId w:val="16"/>
  </w:num>
  <w:num w:numId="11">
    <w:abstractNumId w:val="9"/>
  </w:num>
  <w:num w:numId="12">
    <w:abstractNumId w:val="3"/>
  </w:num>
  <w:num w:numId="13">
    <w:abstractNumId w:val="7"/>
  </w:num>
  <w:num w:numId="14">
    <w:abstractNumId w:val="2"/>
  </w:num>
  <w:num w:numId="15">
    <w:abstractNumId w:val="20"/>
  </w:num>
  <w:num w:numId="16">
    <w:abstractNumId w:val="14"/>
  </w:num>
  <w:num w:numId="17">
    <w:abstractNumId w:val="17"/>
  </w:num>
  <w:num w:numId="18">
    <w:abstractNumId w:val="15"/>
  </w:num>
  <w:num w:numId="19">
    <w:abstractNumId w:val="5"/>
  </w:num>
  <w:num w:numId="20">
    <w:abstractNumId w:val="12"/>
  </w:num>
  <w:num w:numId="21">
    <w:abstractNumId w:val="0"/>
  </w:num>
  <w:num w:numId="22">
    <w:abstractNumId w:val="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C9"/>
    <w:rsid w:val="00000D69"/>
    <w:rsid w:val="00014033"/>
    <w:rsid w:val="00016267"/>
    <w:rsid w:val="000178AE"/>
    <w:rsid w:val="00020226"/>
    <w:rsid w:val="0002109E"/>
    <w:rsid w:val="00025767"/>
    <w:rsid w:val="00036261"/>
    <w:rsid w:val="000A1DC5"/>
    <w:rsid w:val="000A7197"/>
    <w:rsid w:val="000B2E4A"/>
    <w:rsid w:val="000C0B8D"/>
    <w:rsid w:val="000E5245"/>
    <w:rsid w:val="000E54AB"/>
    <w:rsid w:val="000F3D8A"/>
    <w:rsid w:val="000F54D1"/>
    <w:rsid w:val="000F73BC"/>
    <w:rsid w:val="000F7776"/>
    <w:rsid w:val="00107E85"/>
    <w:rsid w:val="00121977"/>
    <w:rsid w:val="001245D9"/>
    <w:rsid w:val="00130CAB"/>
    <w:rsid w:val="00132AE7"/>
    <w:rsid w:val="001339F2"/>
    <w:rsid w:val="00135C81"/>
    <w:rsid w:val="0014293B"/>
    <w:rsid w:val="001465F3"/>
    <w:rsid w:val="0016655B"/>
    <w:rsid w:val="00174336"/>
    <w:rsid w:val="00181EC4"/>
    <w:rsid w:val="00183473"/>
    <w:rsid w:val="00191DDF"/>
    <w:rsid w:val="00193C39"/>
    <w:rsid w:val="00194527"/>
    <w:rsid w:val="00195A15"/>
    <w:rsid w:val="001B0AC6"/>
    <w:rsid w:val="001B44AC"/>
    <w:rsid w:val="001C603F"/>
    <w:rsid w:val="001D689D"/>
    <w:rsid w:val="001F09EE"/>
    <w:rsid w:val="00201446"/>
    <w:rsid w:val="002031FB"/>
    <w:rsid w:val="00212970"/>
    <w:rsid w:val="00220453"/>
    <w:rsid w:val="00230936"/>
    <w:rsid w:val="002460E5"/>
    <w:rsid w:val="00247C0D"/>
    <w:rsid w:val="002516B4"/>
    <w:rsid w:val="00255D5D"/>
    <w:rsid w:val="002637A3"/>
    <w:rsid w:val="002725AA"/>
    <w:rsid w:val="00281AE0"/>
    <w:rsid w:val="002836D6"/>
    <w:rsid w:val="002E456A"/>
    <w:rsid w:val="002E6965"/>
    <w:rsid w:val="002F0A7A"/>
    <w:rsid w:val="002F2790"/>
    <w:rsid w:val="002F3DCD"/>
    <w:rsid w:val="003129FB"/>
    <w:rsid w:val="00322165"/>
    <w:rsid w:val="0032562C"/>
    <w:rsid w:val="00332A78"/>
    <w:rsid w:val="003433D9"/>
    <w:rsid w:val="003506DB"/>
    <w:rsid w:val="00376DFA"/>
    <w:rsid w:val="00377E0A"/>
    <w:rsid w:val="003940E8"/>
    <w:rsid w:val="003B72B1"/>
    <w:rsid w:val="003C24CE"/>
    <w:rsid w:val="003C480D"/>
    <w:rsid w:val="003C5933"/>
    <w:rsid w:val="003D2268"/>
    <w:rsid w:val="003D2C18"/>
    <w:rsid w:val="00407553"/>
    <w:rsid w:val="004078D1"/>
    <w:rsid w:val="00411BC8"/>
    <w:rsid w:val="00467837"/>
    <w:rsid w:val="00474774"/>
    <w:rsid w:val="00480964"/>
    <w:rsid w:val="00491D08"/>
    <w:rsid w:val="004B0E1A"/>
    <w:rsid w:val="004B17FE"/>
    <w:rsid w:val="004B1E49"/>
    <w:rsid w:val="004B56D0"/>
    <w:rsid w:val="004C2C6B"/>
    <w:rsid w:val="004E2005"/>
    <w:rsid w:val="004E7874"/>
    <w:rsid w:val="004F57D8"/>
    <w:rsid w:val="004F6D07"/>
    <w:rsid w:val="005155AA"/>
    <w:rsid w:val="00524EAE"/>
    <w:rsid w:val="0053740A"/>
    <w:rsid w:val="005414F7"/>
    <w:rsid w:val="005435FB"/>
    <w:rsid w:val="005578D7"/>
    <w:rsid w:val="00561F00"/>
    <w:rsid w:val="00563C72"/>
    <w:rsid w:val="00571424"/>
    <w:rsid w:val="00576C40"/>
    <w:rsid w:val="00582175"/>
    <w:rsid w:val="005875AD"/>
    <w:rsid w:val="005916BD"/>
    <w:rsid w:val="005A295E"/>
    <w:rsid w:val="005A49F7"/>
    <w:rsid w:val="005A6E63"/>
    <w:rsid w:val="005B1EC5"/>
    <w:rsid w:val="005B544F"/>
    <w:rsid w:val="005B614B"/>
    <w:rsid w:val="005B6E55"/>
    <w:rsid w:val="005C14B9"/>
    <w:rsid w:val="005C7F72"/>
    <w:rsid w:val="005D5C47"/>
    <w:rsid w:val="005F1B5C"/>
    <w:rsid w:val="0060211C"/>
    <w:rsid w:val="00605185"/>
    <w:rsid w:val="00612718"/>
    <w:rsid w:val="00630524"/>
    <w:rsid w:val="006360CB"/>
    <w:rsid w:val="00642DD1"/>
    <w:rsid w:val="00647A34"/>
    <w:rsid w:val="00654387"/>
    <w:rsid w:val="00656589"/>
    <w:rsid w:val="0066145E"/>
    <w:rsid w:val="00664E3A"/>
    <w:rsid w:val="006651F6"/>
    <w:rsid w:val="006761C0"/>
    <w:rsid w:val="00677329"/>
    <w:rsid w:val="00684462"/>
    <w:rsid w:val="006937F7"/>
    <w:rsid w:val="006B0C79"/>
    <w:rsid w:val="006B28EE"/>
    <w:rsid w:val="006B38C9"/>
    <w:rsid w:val="006B4351"/>
    <w:rsid w:val="006B7AB6"/>
    <w:rsid w:val="006D4FCA"/>
    <w:rsid w:val="006E0697"/>
    <w:rsid w:val="006E096F"/>
    <w:rsid w:val="006E19EB"/>
    <w:rsid w:val="006F14E7"/>
    <w:rsid w:val="006F1DE3"/>
    <w:rsid w:val="00702070"/>
    <w:rsid w:val="00711B6D"/>
    <w:rsid w:val="00715CA8"/>
    <w:rsid w:val="00720C2B"/>
    <w:rsid w:val="0072452D"/>
    <w:rsid w:val="00731640"/>
    <w:rsid w:val="007328B1"/>
    <w:rsid w:val="00742DB9"/>
    <w:rsid w:val="00750195"/>
    <w:rsid w:val="00754BC9"/>
    <w:rsid w:val="00755996"/>
    <w:rsid w:val="00760CD3"/>
    <w:rsid w:val="007635C5"/>
    <w:rsid w:val="00767FE0"/>
    <w:rsid w:val="00781756"/>
    <w:rsid w:val="0078444C"/>
    <w:rsid w:val="00784E26"/>
    <w:rsid w:val="007913C3"/>
    <w:rsid w:val="007A30C9"/>
    <w:rsid w:val="007A37C3"/>
    <w:rsid w:val="007A3D42"/>
    <w:rsid w:val="007A766A"/>
    <w:rsid w:val="007B64AC"/>
    <w:rsid w:val="007E414D"/>
    <w:rsid w:val="007E57C6"/>
    <w:rsid w:val="0080587D"/>
    <w:rsid w:val="00807679"/>
    <w:rsid w:val="00832EBB"/>
    <w:rsid w:val="008428EC"/>
    <w:rsid w:val="00842E2F"/>
    <w:rsid w:val="00855EF0"/>
    <w:rsid w:val="00860736"/>
    <w:rsid w:val="008710EF"/>
    <w:rsid w:val="00877B43"/>
    <w:rsid w:val="008803BB"/>
    <w:rsid w:val="008835D2"/>
    <w:rsid w:val="00893918"/>
    <w:rsid w:val="008B5788"/>
    <w:rsid w:val="008C6CCB"/>
    <w:rsid w:val="008C7C29"/>
    <w:rsid w:val="008D15CE"/>
    <w:rsid w:val="008D4020"/>
    <w:rsid w:val="008F0AE8"/>
    <w:rsid w:val="008F55CA"/>
    <w:rsid w:val="009007AC"/>
    <w:rsid w:val="0091537E"/>
    <w:rsid w:val="00916FFC"/>
    <w:rsid w:val="009174CB"/>
    <w:rsid w:val="00921486"/>
    <w:rsid w:val="009372D7"/>
    <w:rsid w:val="00937FAD"/>
    <w:rsid w:val="00945811"/>
    <w:rsid w:val="00950495"/>
    <w:rsid w:val="009561B9"/>
    <w:rsid w:val="009677C7"/>
    <w:rsid w:val="00975F94"/>
    <w:rsid w:val="00977558"/>
    <w:rsid w:val="009809FC"/>
    <w:rsid w:val="009875EA"/>
    <w:rsid w:val="009A16B3"/>
    <w:rsid w:val="009B4A0D"/>
    <w:rsid w:val="009B62D3"/>
    <w:rsid w:val="009E3B50"/>
    <w:rsid w:val="009F4266"/>
    <w:rsid w:val="00A077EF"/>
    <w:rsid w:val="00A110AB"/>
    <w:rsid w:val="00A110CA"/>
    <w:rsid w:val="00A1355E"/>
    <w:rsid w:val="00A14506"/>
    <w:rsid w:val="00A46D95"/>
    <w:rsid w:val="00A650D9"/>
    <w:rsid w:val="00A65CB3"/>
    <w:rsid w:val="00A84814"/>
    <w:rsid w:val="00A85EB1"/>
    <w:rsid w:val="00AA4025"/>
    <w:rsid w:val="00AB2105"/>
    <w:rsid w:val="00AB7AA6"/>
    <w:rsid w:val="00AD07A4"/>
    <w:rsid w:val="00AE1DE4"/>
    <w:rsid w:val="00AF0025"/>
    <w:rsid w:val="00AF4757"/>
    <w:rsid w:val="00B00256"/>
    <w:rsid w:val="00B0243D"/>
    <w:rsid w:val="00B02959"/>
    <w:rsid w:val="00B03B67"/>
    <w:rsid w:val="00B07F6F"/>
    <w:rsid w:val="00B15163"/>
    <w:rsid w:val="00B27170"/>
    <w:rsid w:val="00B353DD"/>
    <w:rsid w:val="00B413AA"/>
    <w:rsid w:val="00B60480"/>
    <w:rsid w:val="00B70F6E"/>
    <w:rsid w:val="00B755DC"/>
    <w:rsid w:val="00B809A4"/>
    <w:rsid w:val="00BA1F73"/>
    <w:rsid w:val="00BA4B42"/>
    <w:rsid w:val="00BB0BF2"/>
    <w:rsid w:val="00BB255B"/>
    <w:rsid w:val="00BB5F79"/>
    <w:rsid w:val="00BD188C"/>
    <w:rsid w:val="00BD5756"/>
    <w:rsid w:val="00C21BF9"/>
    <w:rsid w:val="00C423F2"/>
    <w:rsid w:val="00C4495A"/>
    <w:rsid w:val="00C62FF1"/>
    <w:rsid w:val="00C71AFB"/>
    <w:rsid w:val="00CA279F"/>
    <w:rsid w:val="00CA6657"/>
    <w:rsid w:val="00CB0C2E"/>
    <w:rsid w:val="00CB3E90"/>
    <w:rsid w:val="00CC20C3"/>
    <w:rsid w:val="00CD6A14"/>
    <w:rsid w:val="00D02770"/>
    <w:rsid w:val="00D14543"/>
    <w:rsid w:val="00D23CF2"/>
    <w:rsid w:val="00D41831"/>
    <w:rsid w:val="00D42CE0"/>
    <w:rsid w:val="00D44A0D"/>
    <w:rsid w:val="00D45B47"/>
    <w:rsid w:val="00D55733"/>
    <w:rsid w:val="00D61F19"/>
    <w:rsid w:val="00D63EEF"/>
    <w:rsid w:val="00D6570D"/>
    <w:rsid w:val="00D7344D"/>
    <w:rsid w:val="00D760A7"/>
    <w:rsid w:val="00D77471"/>
    <w:rsid w:val="00D87359"/>
    <w:rsid w:val="00D916A7"/>
    <w:rsid w:val="00D950CB"/>
    <w:rsid w:val="00DA0B84"/>
    <w:rsid w:val="00DA14A1"/>
    <w:rsid w:val="00DA6217"/>
    <w:rsid w:val="00DE3D99"/>
    <w:rsid w:val="00DE777A"/>
    <w:rsid w:val="00E10179"/>
    <w:rsid w:val="00E200B4"/>
    <w:rsid w:val="00E2262B"/>
    <w:rsid w:val="00E25E3C"/>
    <w:rsid w:val="00E26687"/>
    <w:rsid w:val="00E3548B"/>
    <w:rsid w:val="00E55345"/>
    <w:rsid w:val="00E579C2"/>
    <w:rsid w:val="00E72EC0"/>
    <w:rsid w:val="00E808F8"/>
    <w:rsid w:val="00E85D6A"/>
    <w:rsid w:val="00E92763"/>
    <w:rsid w:val="00EA1A99"/>
    <w:rsid w:val="00EA6748"/>
    <w:rsid w:val="00EB18EC"/>
    <w:rsid w:val="00EB32DF"/>
    <w:rsid w:val="00EB4DD3"/>
    <w:rsid w:val="00ED2CEC"/>
    <w:rsid w:val="00EE55A2"/>
    <w:rsid w:val="00EE68CD"/>
    <w:rsid w:val="00EE7DEB"/>
    <w:rsid w:val="00EF3FFE"/>
    <w:rsid w:val="00F068E3"/>
    <w:rsid w:val="00F24498"/>
    <w:rsid w:val="00F273AF"/>
    <w:rsid w:val="00F31627"/>
    <w:rsid w:val="00F678DF"/>
    <w:rsid w:val="00F8008C"/>
    <w:rsid w:val="00F83E40"/>
    <w:rsid w:val="00F84CC7"/>
    <w:rsid w:val="00F87E99"/>
    <w:rsid w:val="00F97456"/>
    <w:rsid w:val="00F97F05"/>
    <w:rsid w:val="00FB4E91"/>
    <w:rsid w:val="00FB5B9C"/>
    <w:rsid w:val="00FC2511"/>
    <w:rsid w:val="00FC3BA0"/>
    <w:rsid w:val="00FD3906"/>
    <w:rsid w:val="00FD7931"/>
    <w:rsid w:val="00FE12B4"/>
    <w:rsid w:val="00FE3590"/>
    <w:rsid w:val="00FE55FD"/>
    <w:rsid w:val="00FE75F9"/>
    <w:rsid w:val="00FF4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C9"/>
  </w:style>
  <w:style w:type="paragraph" w:styleId="Ttulo1">
    <w:name w:val="heading 1"/>
    <w:basedOn w:val="Normal"/>
    <w:next w:val="Normal"/>
    <w:link w:val="Ttulo1Car"/>
    <w:uiPriority w:val="9"/>
    <w:qFormat/>
    <w:rsid w:val="006B3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B38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8C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B38C9"/>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6B3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8C9"/>
  </w:style>
  <w:style w:type="paragraph" w:styleId="Piedepgina">
    <w:name w:val="footer"/>
    <w:basedOn w:val="Normal"/>
    <w:link w:val="PiedepginaCar"/>
    <w:uiPriority w:val="99"/>
    <w:unhideWhenUsed/>
    <w:rsid w:val="006B3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8C9"/>
  </w:style>
  <w:style w:type="character" w:styleId="Hipervnculo">
    <w:name w:val="Hyperlink"/>
    <w:basedOn w:val="Fuentedeprrafopredeter"/>
    <w:uiPriority w:val="99"/>
    <w:unhideWhenUsed/>
    <w:rsid w:val="006B38C9"/>
    <w:rPr>
      <w:color w:val="0563C1" w:themeColor="hyperlink"/>
      <w:u w:val="single"/>
    </w:rPr>
  </w:style>
  <w:style w:type="character" w:customStyle="1" w:styleId="UnresolvedMention">
    <w:name w:val="Unresolved Mention"/>
    <w:basedOn w:val="Fuentedeprrafopredeter"/>
    <w:uiPriority w:val="99"/>
    <w:semiHidden/>
    <w:unhideWhenUsed/>
    <w:rsid w:val="006B38C9"/>
    <w:rPr>
      <w:color w:val="605E5C"/>
      <w:shd w:val="clear" w:color="auto" w:fill="E1DFDD"/>
    </w:rPr>
  </w:style>
  <w:style w:type="character" w:customStyle="1" w:styleId="titulo">
    <w:name w:val="titulo"/>
    <w:basedOn w:val="Fuentedeprrafopredeter"/>
    <w:rsid w:val="006B38C9"/>
  </w:style>
  <w:style w:type="paragraph" w:styleId="Prrafodelista">
    <w:name w:val="List Paragraph"/>
    <w:basedOn w:val="Normal"/>
    <w:uiPriority w:val="34"/>
    <w:qFormat/>
    <w:rsid w:val="006B38C9"/>
    <w:pPr>
      <w:ind w:left="720"/>
      <w:contextualSpacing/>
    </w:pPr>
  </w:style>
  <w:style w:type="paragraph" w:customStyle="1" w:styleId="Prrafodelista2">
    <w:name w:val="Párrafo de lista2"/>
    <w:basedOn w:val="Normal"/>
    <w:rsid w:val="006B38C9"/>
    <w:pPr>
      <w:widowControl w:val="0"/>
      <w:suppressAutoHyphens/>
      <w:spacing w:after="0" w:line="252" w:lineRule="auto"/>
      <w:ind w:left="720"/>
    </w:pPr>
    <w:rPr>
      <w:rFonts w:ascii="Times New Roman" w:eastAsia="Andale Sans UI" w:hAnsi="Times New Roman" w:cs="Times New Roman"/>
      <w:kern w:val="2"/>
      <w:sz w:val="24"/>
      <w:szCs w:val="24"/>
      <w:lang w:eastAsia="ar-SA"/>
    </w:rPr>
  </w:style>
  <w:style w:type="table" w:styleId="Tablaconcuadrcula">
    <w:name w:val="Table Grid"/>
    <w:basedOn w:val="Tablanormal"/>
    <w:uiPriority w:val="39"/>
    <w:rsid w:val="006B38C9"/>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6B38C9"/>
    <w:pPr>
      <w:widowControl w:val="0"/>
      <w:suppressAutoHyphens/>
      <w:spacing w:after="0" w:line="100" w:lineRule="atLeast"/>
    </w:pPr>
    <w:rPr>
      <w:rFonts w:ascii="Aldus LT Std Roman" w:eastAsia="Aldus LT Std Roman" w:hAnsi="Aldus LT Std Roman" w:cs="Aldus LT Std Roman"/>
      <w:color w:val="000000"/>
      <w:kern w:val="2"/>
      <w:sz w:val="24"/>
      <w:szCs w:val="24"/>
      <w:lang w:val="de-DE" w:eastAsia="fa-IR" w:bidi="fa-IR"/>
    </w:rPr>
  </w:style>
  <w:style w:type="paragraph" w:customStyle="1" w:styleId="texto">
    <w:name w:val="texto"/>
    <w:basedOn w:val="Normal"/>
    <w:rsid w:val="006B38C9"/>
    <w:pPr>
      <w:spacing w:after="101" w:line="216" w:lineRule="atLeast"/>
      <w:ind w:firstLine="288"/>
      <w:jc w:val="both"/>
    </w:pPr>
    <w:rPr>
      <w:rFonts w:ascii="Arial" w:eastAsia="Times New Roman" w:hAnsi="Arial" w:cs="Arial"/>
      <w:sz w:val="18"/>
      <w:szCs w:val="20"/>
      <w:lang w:val="es-ES_tradnl" w:eastAsia="es-ES"/>
    </w:rPr>
  </w:style>
  <w:style w:type="paragraph" w:customStyle="1" w:styleId="Texto0">
    <w:name w:val="Texto"/>
    <w:basedOn w:val="Normal"/>
    <w:link w:val="TextoCar"/>
    <w:rsid w:val="006B38C9"/>
    <w:pPr>
      <w:spacing w:after="101" w:line="216" w:lineRule="exact"/>
      <w:ind w:firstLine="288"/>
      <w:jc w:val="both"/>
    </w:pPr>
    <w:rPr>
      <w:rFonts w:ascii="Arial" w:eastAsiaTheme="minorEastAsia" w:hAnsi="Arial" w:cs="Arial"/>
      <w:sz w:val="18"/>
      <w:szCs w:val="20"/>
      <w:lang w:val="es-ES" w:eastAsia="es-ES"/>
    </w:rPr>
  </w:style>
  <w:style w:type="character" w:customStyle="1" w:styleId="TextoCar">
    <w:name w:val="Texto Car"/>
    <w:link w:val="Texto0"/>
    <w:locked/>
    <w:rsid w:val="006B38C9"/>
    <w:rPr>
      <w:rFonts w:ascii="Arial" w:eastAsiaTheme="minorEastAsia" w:hAnsi="Arial" w:cs="Arial"/>
      <w:sz w:val="18"/>
      <w:szCs w:val="20"/>
      <w:lang w:val="es-ES" w:eastAsia="es-ES"/>
    </w:rPr>
  </w:style>
  <w:style w:type="paragraph" w:customStyle="1" w:styleId="Subttulo1">
    <w:name w:val="Subtítulo 1"/>
    <w:basedOn w:val="Epgrafe"/>
    <w:rsid w:val="006B38C9"/>
    <w:pPr>
      <w:overflowPunct w:val="0"/>
      <w:autoSpaceDE w:val="0"/>
      <w:autoSpaceDN w:val="0"/>
      <w:adjustRightInd w:val="0"/>
      <w:spacing w:after="0"/>
    </w:pPr>
    <w:rPr>
      <w:rFonts w:ascii="Times New Roman" w:eastAsia="Times New Roman" w:hAnsi="Times New Roman" w:cs="Times New Roman"/>
      <w:b/>
      <w:i w:val="0"/>
      <w:iCs w:val="0"/>
      <w:color w:val="000000"/>
      <w:sz w:val="36"/>
      <w:szCs w:val="20"/>
      <w:lang w:val="en-US" w:eastAsia="es-MX"/>
    </w:rPr>
  </w:style>
  <w:style w:type="paragraph" w:styleId="Epgrafe">
    <w:name w:val="caption"/>
    <w:basedOn w:val="Normal"/>
    <w:next w:val="Normal"/>
    <w:uiPriority w:val="35"/>
    <w:semiHidden/>
    <w:unhideWhenUsed/>
    <w:qFormat/>
    <w:rsid w:val="006B38C9"/>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6B38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8C9"/>
    <w:rPr>
      <w:rFonts w:ascii="Segoe UI" w:hAnsi="Segoe UI" w:cs="Segoe UI"/>
      <w:sz w:val="18"/>
      <w:szCs w:val="18"/>
    </w:rPr>
  </w:style>
  <w:style w:type="paragraph" w:customStyle="1" w:styleId="paragraph">
    <w:name w:val="paragraph"/>
    <w:basedOn w:val="Normal"/>
    <w:rsid w:val="006B38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6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B38C9"/>
    <w:rPr>
      <w:rFonts w:ascii="Courier New" w:eastAsia="Times New Roman" w:hAnsi="Courier New" w:cs="Courier New"/>
      <w:sz w:val="20"/>
      <w:szCs w:val="20"/>
      <w:lang w:eastAsia="es-MX"/>
    </w:rPr>
  </w:style>
  <w:style w:type="character" w:styleId="nfasis">
    <w:name w:val="Emphasis"/>
    <w:basedOn w:val="Fuentedeprrafopredeter"/>
    <w:uiPriority w:val="20"/>
    <w:qFormat/>
    <w:rsid w:val="006B38C9"/>
    <w:rPr>
      <w:i/>
      <w:iCs/>
    </w:rPr>
  </w:style>
  <w:style w:type="paragraph" w:styleId="NormalWeb">
    <w:name w:val="Normal (Web)"/>
    <w:basedOn w:val="Normal"/>
    <w:uiPriority w:val="99"/>
    <w:semiHidden/>
    <w:unhideWhenUsed/>
    <w:rsid w:val="00D418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E57C6"/>
    <w:rPr>
      <w:color w:val="954F72" w:themeColor="followedHyperlink"/>
      <w:u w:val="single"/>
    </w:rPr>
  </w:style>
  <w:style w:type="character" w:customStyle="1" w:styleId="y2iqfc">
    <w:name w:val="y2iqfc"/>
    <w:basedOn w:val="Fuentedeprrafopredeter"/>
    <w:rsid w:val="00977558"/>
  </w:style>
  <w:style w:type="character" w:styleId="Textoennegrita">
    <w:name w:val="Strong"/>
    <w:basedOn w:val="Fuentedeprrafopredeter"/>
    <w:uiPriority w:val="22"/>
    <w:qFormat/>
    <w:rsid w:val="00480964"/>
    <w:rPr>
      <w:b/>
      <w:bCs/>
    </w:rPr>
  </w:style>
  <w:style w:type="character" w:customStyle="1" w:styleId="orcid-id-https">
    <w:name w:val="orcid-id-https"/>
    <w:basedOn w:val="Fuentedeprrafopredeter"/>
    <w:rsid w:val="008710EF"/>
  </w:style>
  <w:style w:type="character" w:customStyle="1" w:styleId="a">
    <w:name w:val="_"/>
    <w:basedOn w:val="Fuentedeprrafopredeter"/>
    <w:rsid w:val="00B02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C9"/>
  </w:style>
  <w:style w:type="paragraph" w:styleId="Ttulo1">
    <w:name w:val="heading 1"/>
    <w:basedOn w:val="Normal"/>
    <w:next w:val="Normal"/>
    <w:link w:val="Ttulo1Car"/>
    <w:uiPriority w:val="9"/>
    <w:qFormat/>
    <w:rsid w:val="006B3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B38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8C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B38C9"/>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6B3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8C9"/>
  </w:style>
  <w:style w:type="paragraph" w:styleId="Piedepgina">
    <w:name w:val="footer"/>
    <w:basedOn w:val="Normal"/>
    <w:link w:val="PiedepginaCar"/>
    <w:uiPriority w:val="99"/>
    <w:unhideWhenUsed/>
    <w:rsid w:val="006B3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8C9"/>
  </w:style>
  <w:style w:type="character" w:styleId="Hipervnculo">
    <w:name w:val="Hyperlink"/>
    <w:basedOn w:val="Fuentedeprrafopredeter"/>
    <w:uiPriority w:val="99"/>
    <w:unhideWhenUsed/>
    <w:rsid w:val="006B38C9"/>
    <w:rPr>
      <w:color w:val="0563C1" w:themeColor="hyperlink"/>
      <w:u w:val="single"/>
    </w:rPr>
  </w:style>
  <w:style w:type="character" w:customStyle="1" w:styleId="UnresolvedMention">
    <w:name w:val="Unresolved Mention"/>
    <w:basedOn w:val="Fuentedeprrafopredeter"/>
    <w:uiPriority w:val="99"/>
    <w:semiHidden/>
    <w:unhideWhenUsed/>
    <w:rsid w:val="006B38C9"/>
    <w:rPr>
      <w:color w:val="605E5C"/>
      <w:shd w:val="clear" w:color="auto" w:fill="E1DFDD"/>
    </w:rPr>
  </w:style>
  <w:style w:type="character" w:customStyle="1" w:styleId="titulo">
    <w:name w:val="titulo"/>
    <w:basedOn w:val="Fuentedeprrafopredeter"/>
    <w:rsid w:val="006B38C9"/>
  </w:style>
  <w:style w:type="paragraph" w:styleId="Prrafodelista">
    <w:name w:val="List Paragraph"/>
    <w:basedOn w:val="Normal"/>
    <w:uiPriority w:val="34"/>
    <w:qFormat/>
    <w:rsid w:val="006B38C9"/>
    <w:pPr>
      <w:ind w:left="720"/>
      <w:contextualSpacing/>
    </w:pPr>
  </w:style>
  <w:style w:type="paragraph" w:customStyle="1" w:styleId="Prrafodelista2">
    <w:name w:val="Párrafo de lista2"/>
    <w:basedOn w:val="Normal"/>
    <w:rsid w:val="006B38C9"/>
    <w:pPr>
      <w:widowControl w:val="0"/>
      <w:suppressAutoHyphens/>
      <w:spacing w:after="0" w:line="252" w:lineRule="auto"/>
      <w:ind w:left="720"/>
    </w:pPr>
    <w:rPr>
      <w:rFonts w:ascii="Times New Roman" w:eastAsia="Andale Sans UI" w:hAnsi="Times New Roman" w:cs="Times New Roman"/>
      <w:kern w:val="2"/>
      <w:sz w:val="24"/>
      <w:szCs w:val="24"/>
      <w:lang w:eastAsia="ar-SA"/>
    </w:rPr>
  </w:style>
  <w:style w:type="table" w:styleId="Tablaconcuadrcula">
    <w:name w:val="Table Grid"/>
    <w:basedOn w:val="Tablanormal"/>
    <w:uiPriority w:val="39"/>
    <w:rsid w:val="006B38C9"/>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6B38C9"/>
    <w:pPr>
      <w:widowControl w:val="0"/>
      <w:suppressAutoHyphens/>
      <w:spacing w:after="0" w:line="100" w:lineRule="atLeast"/>
    </w:pPr>
    <w:rPr>
      <w:rFonts w:ascii="Aldus LT Std Roman" w:eastAsia="Aldus LT Std Roman" w:hAnsi="Aldus LT Std Roman" w:cs="Aldus LT Std Roman"/>
      <w:color w:val="000000"/>
      <w:kern w:val="2"/>
      <w:sz w:val="24"/>
      <w:szCs w:val="24"/>
      <w:lang w:val="de-DE" w:eastAsia="fa-IR" w:bidi="fa-IR"/>
    </w:rPr>
  </w:style>
  <w:style w:type="paragraph" w:customStyle="1" w:styleId="texto">
    <w:name w:val="texto"/>
    <w:basedOn w:val="Normal"/>
    <w:rsid w:val="006B38C9"/>
    <w:pPr>
      <w:spacing w:after="101" w:line="216" w:lineRule="atLeast"/>
      <w:ind w:firstLine="288"/>
      <w:jc w:val="both"/>
    </w:pPr>
    <w:rPr>
      <w:rFonts w:ascii="Arial" w:eastAsia="Times New Roman" w:hAnsi="Arial" w:cs="Arial"/>
      <w:sz w:val="18"/>
      <w:szCs w:val="20"/>
      <w:lang w:val="es-ES_tradnl" w:eastAsia="es-ES"/>
    </w:rPr>
  </w:style>
  <w:style w:type="paragraph" w:customStyle="1" w:styleId="Texto0">
    <w:name w:val="Texto"/>
    <w:basedOn w:val="Normal"/>
    <w:link w:val="TextoCar"/>
    <w:rsid w:val="006B38C9"/>
    <w:pPr>
      <w:spacing w:after="101" w:line="216" w:lineRule="exact"/>
      <w:ind w:firstLine="288"/>
      <w:jc w:val="both"/>
    </w:pPr>
    <w:rPr>
      <w:rFonts w:ascii="Arial" w:eastAsiaTheme="minorEastAsia" w:hAnsi="Arial" w:cs="Arial"/>
      <w:sz w:val="18"/>
      <w:szCs w:val="20"/>
      <w:lang w:val="es-ES" w:eastAsia="es-ES"/>
    </w:rPr>
  </w:style>
  <w:style w:type="character" w:customStyle="1" w:styleId="TextoCar">
    <w:name w:val="Texto Car"/>
    <w:link w:val="Texto0"/>
    <w:locked/>
    <w:rsid w:val="006B38C9"/>
    <w:rPr>
      <w:rFonts w:ascii="Arial" w:eastAsiaTheme="minorEastAsia" w:hAnsi="Arial" w:cs="Arial"/>
      <w:sz w:val="18"/>
      <w:szCs w:val="20"/>
      <w:lang w:val="es-ES" w:eastAsia="es-ES"/>
    </w:rPr>
  </w:style>
  <w:style w:type="paragraph" w:customStyle="1" w:styleId="Subttulo1">
    <w:name w:val="Subtítulo 1"/>
    <w:basedOn w:val="Epgrafe"/>
    <w:rsid w:val="006B38C9"/>
    <w:pPr>
      <w:overflowPunct w:val="0"/>
      <w:autoSpaceDE w:val="0"/>
      <w:autoSpaceDN w:val="0"/>
      <w:adjustRightInd w:val="0"/>
      <w:spacing w:after="0"/>
    </w:pPr>
    <w:rPr>
      <w:rFonts w:ascii="Times New Roman" w:eastAsia="Times New Roman" w:hAnsi="Times New Roman" w:cs="Times New Roman"/>
      <w:b/>
      <w:i w:val="0"/>
      <w:iCs w:val="0"/>
      <w:color w:val="000000"/>
      <w:sz w:val="36"/>
      <w:szCs w:val="20"/>
      <w:lang w:val="en-US" w:eastAsia="es-MX"/>
    </w:rPr>
  </w:style>
  <w:style w:type="paragraph" w:styleId="Epgrafe">
    <w:name w:val="caption"/>
    <w:basedOn w:val="Normal"/>
    <w:next w:val="Normal"/>
    <w:uiPriority w:val="35"/>
    <w:semiHidden/>
    <w:unhideWhenUsed/>
    <w:qFormat/>
    <w:rsid w:val="006B38C9"/>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6B38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8C9"/>
    <w:rPr>
      <w:rFonts w:ascii="Segoe UI" w:hAnsi="Segoe UI" w:cs="Segoe UI"/>
      <w:sz w:val="18"/>
      <w:szCs w:val="18"/>
    </w:rPr>
  </w:style>
  <w:style w:type="paragraph" w:customStyle="1" w:styleId="paragraph">
    <w:name w:val="paragraph"/>
    <w:basedOn w:val="Normal"/>
    <w:rsid w:val="006B38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6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B38C9"/>
    <w:rPr>
      <w:rFonts w:ascii="Courier New" w:eastAsia="Times New Roman" w:hAnsi="Courier New" w:cs="Courier New"/>
      <w:sz w:val="20"/>
      <w:szCs w:val="20"/>
      <w:lang w:eastAsia="es-MX"/>
    </w:rPr>
  </w:style>
  <w:style w:type="character" w:styleId="nfasis">
    <w:name w:val="Emphasis"/>
    <w:basedOn w:val="Fuentedeprrafopredeter"/>
    <w:uiPriority w:val="20"/>
    <w:qFormat/>
    <w:rsid w:val="006B38C9"/>
    <w:rPr>
      <w:i/>
      <w:iCs/>
    </w:rPr>
  </w:style>
  <w:style w:type="paragraph" w:styleId="NormalWeb">
    <w:name w:val="Normal (Web)"/>
    <w:basedOn w:val="Normal"/>
    <w:uiPriority w:val="99"/>
    <w:semiHidden/>
    <w:unhideWhenUsed/>
    <w:rsid w:val="00D418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E57C6"/>
    <w:rPr>
      <w:color w:val="954F72" w:themeColor="followedHyperlink"/>
      <w:u w:val="single"/>
    </w:rPr>
  </w:style>
  <w:style w:type="character" w:customStyle="1" w:styleId="y2iqfc">
    <w:name w:val="y2iqfc"/>
    <w:basedOn w:val="Fuentedeprrafopredeter"/>
    <w:rsid w:val="00977558"/>
  </w:style>
  <w:style w:type="character" w:styleId="Textoennegrita">
    <w:name w:val="Strong"/>
    <w:basedOn w:val="Fuentedeprrafopredeter"/>
    <w:uiPriority w:val="22"/>
    <w:qFormat/>
    <w:rsid w:val="00480964"/>
    <w:rPr>
      <w:b/>
      <w:bCs/>
    </w:rPr>
  </w:style>
  <w:style w:type="character" w:customStyle="1" w:styleId="orcid-id-https">
    <w:name w:val="orcid-id-https"/>
    <w:basedOn w:val="Fuentedeprrafopredeter"/>
    <w:rsid w:val="008710EF"/>
  </w:style>
  <w:style w:type="character" w:customStyle="1" w:styleId="a">
    <w:name w:val="_"/>
    <w:basedOn w:val="Fuentedeprrafopredeter"/>
    <w:rsid w:val="00B0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6576">
      <w:bodyDiv w:val="1"/>
      <w:marLeft w:val="0"/>
      <w:marRight w:val="0"/>
      <w:marTop w:val="0"/>
      <w:marBottom w:val="0"/>
      <w:divBdr>
        <w:top w:val="none" w:sz="0" w:space="0" w:color="auto"/>
        <w:left w:val="none" w:sz="0" w:space="0" w:color="auto"/>
        <w:bottom w:val="none" w:sz="0" w:space="0" w:color="auto"/>
        <w:right w:val="none" w:sz="0" w:space="0" w:color="auto"/>
      </w:divBdr>
    </w:div>
    <w:div w:id="278221885">
      <w:bodyDiv w:val="1"/>
      <w:marLeft w:val="0"/>
      <w:marRight w:val="0"/>
      <w:marTop w:val="0"/>
      <w:marBottom w:val="0"/>
      <w:divBdr>
        <w:top w:val="none" w:sz="0" w:space="0" w:color="auto"/>
        <w:left w:val="none" w:sz="0" w:space="0" w:color="auto"/>
        <w:bottom w:val="none" w:sz="0" w:space="0" w:color="auto"/>
        <w:right w:val="none" w:sz="0" w:space="0" w:color="auto"/>
      </w:divBdr>
    </w:div>
    <w:div w:id="406391337">
      <w:bodyDiv w:val="1"/>
      <w:marLeft w:val="0"/>
      <w:marRight w:val="0"/>
      <w:marTop w:val="0"/>
      <w:marBottom w:val="0"/>
      <w:divBdr>
        <w:top w:val="none" w:sz="0" w:space="0" w:color="auto"/>
        <w:left w:val="none" w:sz="0" w:space="0" w:color="auto"/>
        <w:bottom w:val="none" w:sz="0" w:space="0" w:color="auto"/>
        <w:right w:val="none" w:sz="0" w:space="0" w:color="auto"/>
      </w:divBdr>
    </w:div>
    <w:div w:id="512186216">
      <w:bodyDiv w:val="1"/>
      <w:marLeft w:val="0"/>
      <w:marRight w:val="0"/>
      <w:marTop w:val="0"/>
      <w:marBottom w:val="0"/>
      <w:divBdr>
        <w:top w:val="none" w:sz="0" w:space="0" w:color="auto"/>
        <w:left w:val="none" w:sz="0" w:space="0" w:color="auto"/>
        <w:bottom w:val="none" w:sz="0" w:space="0" w:color="auto"/>
        <w:right w:val="none" w:sz="0" w:space="0" w:color="auto"/>
      </w:divBdr>
    </w:div>
    <w:div w:id="590699468">
      <w:bodyDiv w:val="1"/>
      <w:marLeft w:val="0"/>
      <w:marRight w:val="0"/>
      <w:marTop w:val="0"/>
      <w:marBottom w:val="0"/>
      <w:divBdr>
        <w:top w:val="none" w:sz="0" w:space="0" w:color="auto"/>
        <w:left w:val="none" w:sz="0" w:space="0" w:color="auto"/>
        <w:bottom w:val="none" w:sz="0" w:space="0" w:color="auto"/>
        <w:right w:val="none" w:sz="0" w:space="0" w:color="auto"/>
      </w:divBdr>
    </w:div>
    <w:div w:id="736633151">
      <w:bodyDiv w:val="1"/>
      <w:marLeft w:val="0"/>
      <w:marRight w:val="0"/>
      <w:marTop w:val="0"/>
      <w:marBottom w:val="0"/>
      <w:divBdr>
        <w:top w:val="none" w:sz="0" w:space="0" w:color="auto"/>
        <w:left w:val="none" w:sz="0" w:space="0" w:color="auto"/>
        <w:bottom w:val="none" w:sz="0" w:space="0" w:color="auto"/>
        <w:right w:val="none" w:sz="0" w:space="0" w:color="auto"/>
      </w:divBdr>
    </w:div>
    <w:div w:id="855385038">
      <w:bodyDiv w:val="1"/>
      <w:marLeft w:val="0"/>
      <w:marRight w:val="0"/>
      <w:marTop w:val="0"/>
      <w:marBottom w:val="0"/>
      <w:divBdr>
        <w:top w:val="none" w:sz="0" w:space="0" w:color="auto"/>
        <w:left w:val="none" w:sz="0" w:space="0" w:color="auto"/>
        <w:bottom w:val="none" w:sz="0" w:space="0" w:color="auto"/>
        <w:right w:val="none" w:sz="0" w:space="0" w:color="auto"/>
      </w:divBdr>
    </w:div>
    <w:div w:id="1073430076">
      <w:bodyDiv w:val="1"/>
      <w:marLeft w:val="0"/>
      <w:marRight w:val="0"/>
      <w:marTop w:val="0"/>
      <w:marBottom w:val="0"/>
      <w:divBdr>
        <w:top w:val="none" w:sz="0" w:space="0" w:color="auto"/>
        <w:left w:val="none" w:sz="0" w:space="0" w:color="auto"/>
        <w:bottom w:val="none" w:sz="0" w:space="0" w:color="auto"/>
        <w:right w:val="none" w:sz="0" w:space="0" w:color="auto"/>
      </w:divBdr>
    </w:div>
    <w:div w:id="1227031536">
      <w:bodyDiv w:val="1"/>
      <w:marLeft w:val="0"/>
      <w:marRight w:val="0"/>
      <w:marTop w:val="0"/>
      <w:marBottom w:val="0"/>
      <w:divBdr>
        <w:top w:val="none" w:sz="0" w:space="0" w:color="auto"/>
        <w:left w:val="none" w:sz="0" w:space="0" w:color="auto"/>
        <w:bottom w:val="none" w:sz="0" w:space="0" w:color="auto"/>
        <w:right w:val="none" w:sz="0" w:space="0" w:color="auto"/>
      </w:divBdr>
    </w:div>
    <w:div w:id="1262448856">
      <w:bodyDiv w:val="1"/>
      <w:marLeft w:val="0"/>
      <w:marRight w:val="0"/>
      <w:marTop w:val="0"/>
      <w:marBottom w:val="0"/>
      <w:divBdr>
        <w:top w:val="none" w:sz="0" w:space="0" w:color="auto"/>
        <w:left w:val="none" w:sz="0" w:space="0" w:color="auto"/>
        <w:bottom w:val="none" w:sz="0" w:space="0" w:color="auto"/>
        <w:right w:val="none" w:sz="0" w:space="0" w:color="auto"/>
      </w:divBdr>
    </w:div>
    <w:div w:id="1515995124">
      <w:bodyDiv w:val="1"/>
      <w:marLeft w:val="0"/>
      <w:marRight w:val="0"/>
      <w:marTop w:val="0"/>
      <w:marBottom w:val="0"/>
      <w:divBdr>
        <w:top w:val="none" w:sz="0" w:space="0" w:color="auto"/>
        <w:left w:val="none" w:sz="0" w:space="0" w:color="auto"/>
        <w:bottom w:val="none" w:sz="0" w:space="0" w:color="auto"/>
        <w:right w:val="none" w:sz="0" w:space="0" w:color="auto"/>
      </w:divBdr>
    </w:div>
    <w:div w:id="1821187172">
      <w:bodyDiv w:val="1"/>
      <w:marLeft w:val="0"/>
      <w:marRight w:val="0"/>
      <w:marTop w:val="0"/>
      <w:marBottom w:val="0"/>
      <w:divBdr>
        <w:top w:val="none" w:sz="0" w:space="0" w:color="auto"/>
        <w:left w:val="none" w:sz="0" w:space="0" w:color="auto"/>
        <w:bottom w:val="none" w:sz="0" w:space="0" w:color="auto"/>
        <w:right w:val="none" w:sz="0" w:space="0" w:color="auto"/>
      </w:divBdr>
    </w:div>
    <w:div w:id="18947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42" Type="http://schemas.openxmlformats.org/officeDocument/2006/relationships/hyperlink" Target="http://www.diputados.gob.mx/LeyesBiblio/compila/pnd.htm" TargetMode="External"/><Relationship Id="rId47" Type="http://schemas.openxmlformats.org/officeDocument/2006/relationships/hyperlink" Target="https://www.planeacion.sep.gob.mx/Doc/estadistica_e_indicadores/principales_cifras/principales_cifras_2018_2019_bolsillo.pdf" TargetMode="External"/><Relationship Id="rId63" Type="http://schemas.openxmlformats.org/officeDocument/2006/relationships/hyperlink" Target="http://www.salud.gob.mx/unidades/evaluacion/publicaciones/pns_2001-2006/pns2001-006.pdf" TargetMode="External"/><Relationship Id="rId68" Type="http://schemas.openxmlformats.org/officeDocument/2006/relationships/hyperlink" Target="https://ensanut.insp.mx/encuestas/ensanut2012/doctos/informes/ENSANUT2012ResultadosNacionales2Ed.pdf" TargetMode="External"/><Relationship Id="rId16" Type="http://schemas.openxmlformats.org/officeDocument/2006/relationships/chart" Target="charts/chart2.xml"/><Relationship Id="rId11" Type="http://schemas.openxmlformats.org/officeDocument/2006/relationships/hyperlink" Target="mailto:gcontrerasl@uaemex.mx" TargetMode="External"/><Relationship Id="rId32" Type="http://schemas.openxmlformats.org/officeDocument/2006/relationships/hyperlink" Target="http://www.mexicomaxico.org/Voto/SalMinInf.htm" TargetMode="External"/><Relationship Id="rId37" Type="http://schemas.openxmlformats.org/officeDocument/2006/relationships/hyperlink" Target="http://www.dof.gob.mx/nota_detalle.php?codigo=4698929&amp;fecha=11/01/1991" TargetMode="External"/><Relationship Id="rId53" Type="http://schemas.openxmlformats.org/officeDocument/2006/relationships/hyperlink" Target="http://www.amr.org.ar/amr/wp-content/uploads/2015/10/n37a138.pdf" TargetMode="External"/><Relationship Id="rId58" Type="http://schemas.openxmlformats.org/officeDocument/2006/relationships/hyperlink" Target="http://dof.gob.mx/nota_detalle.php?codigo=4684764&amp;fecha=23/08/1984" TargetMode="External"/><Relationship Id="rId74" Type="http://schemas.openxmlformats.org/officeDocument/2006/relationships/hyperlink" Target="http://www.scielo.org.co/pdf/rfnsp/v31s1/v31s1a02.pdf" TargetMode="External"/><Relationship Id="rId79" Type="http://schemas.openxmlformats.org/officeDocument/2006/relationships/hyperlink" Target="https://www.paho.org/salud-en-las-americas-2017/uh-access.html" TargetMode="External"/><Relationship Id="rId5" Type="http://schemas.openxmlformats.org/officeDocument/2006/relationships/settings" Target="settings.xml"/><Relationship Id="rId61" Type="http://schemas.openxmlformats.org/officeDocument/2006/relationships/hyperlink" Target="https://portalacademico.cch.unam.mx/repositorio-de-sitios/historico-social/historia-universal-2/HUMCII/referencias4.htm" TargetMode="External"/><Relationship Id="rId82" Type="http://schemas.openxmlformats.org/officeDocument/2006/relationships/fontTable" Target="fontTable.xml"/><Relationship Id="rId19" Type="http://schemas.openxmlformats.org/officeDocument/2006/relationships/chart" Target="charts/chart5.xml"/><Relationship Id="rId14" Type="http://schemas.openxmlformats.org/officeDocument/2006/relationships/hyperlink" Target="https://orcid.org/0000-0002-3129-9418"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redalyc.org/pdf/325/32510011.pdf" TargetMode="External"/><Relationship Id="rId35" Type="http://schemas.openxmlformats.org/officeDocument/2006/relationships/hyperlink" Target="http://www.diputados.gob.mx/LeyesBiblio/pdf_mov/Constitucion_Politica.pdf" TargetMode="External"/><Relationship Id="rId43" Type="http://schemas.openxmlformats.org/officeDocument/2006/relationships/hyperlink" Target="http://www.diputados.gob.mx/LeyesBiblio/compila/pnd.htm" TargetMode="External"/><Relationship Id="rId48" Type="http://schemas.openxmlformats.org/officeDocument/2006/relationships/hyperlink" Target="https://www.coneval.org.mx/Medicion/Paginas/Glosario.aspx" TargetMode="External"/><Relationship Id="rId56" Type="http://schemas.openxmlformats.org/officeDocument/2006/relationships/hyperlink" Target="http://www.diputados.gob.mx/LeyesBiblio/ref/cpeum_art.htm" TargetMode="External"/><Relationship Id="rId64" Type="http://schemas.openxmlformats.org/officeDocument/2006/relationships/hyperlink" Target="http://www.documentos.seguro-popular.gob.mx/dgss/CAUSES_2018c.pdf" TargetMode="External"/><Relationship Id="rId69" Type="http://schemas.openxmlformats.org/officeDocument/2006/relationships/hyperlink" Target="https://www.paho.org/salud-en-las-americas-2017/uh-intro.html" TargetMode="External"/><Relationship Id="rId77" Type="http://schemas.openxmlformats.org/officeDocument/2006/relationships/hyperlink" Target="https://dialnet.unirioja.es/servlet/articulo?codigo=5654300" TargetMode="External"/><Relationship Id="rId8" Type="http://schemas.openxmlformats.org/officeDocument/2006/relationships/endnotes" Target="endnotes.xml"/><Relationship Id="rId51" Type="http://schemas.openxmlformats.org/officeDocument/2006/relationships/hyperlink" Target="http://www.cedrssa.gob.mx/files/b/13/74ENIGH2018-Investigaci%C3%B3n.pdf" TargetMode="External"/><Relationship Id="rId72" Type="http://schemas.openxmlformats.org/officeDocument/2006/relationships/hyperlink" Target="http://www.scielo.org.co/pdf/rsap/v15n6/v15n6a03.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rcid.org/0000-0002-0353-5970"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datos.covid-19.conacyt.mx/" TargetMode="External"/><Relationship Id="rId38" Type="http://schemas.openxmlformats.org/officeDocument/2006/relationships/hyperlink" Target="https://historico.mejoredu.gob.mx/wp-content/uploads/2018/12/P1B116.pdf" TargetMode="External"/><Relationship Id="rId46" Type="http://schemas.openxmlformats.org/officeDocument/2006/relationships/hyperlink" Target="https://elsoberano.mx/wp-content/uploads/2019/07/INEGI.pdf" TargetMode="External"/><Relationship Id="rId59" Type="http://schemas.openxmlformats.org/officeDocument/2006/relationships/hyperlink" Target="http://evaluacion.ssm.gob.mx/pdf/Prosesa-2013-2018.pdf" TargetMode="External"/><Relationship Id="rId67" Type="http://schemas.openxmlformats.org/officeDocument/2006/relationships/hyperlink" Target="http://www.scielo.org.mx/pdf/fi/v55n1/0185-013X-fi-55-01-00217.pdf" TargetMode="External"/><Relationship Id="rId20" Type="http://schemas.openxmlformats.org/officeDocument/2006/relationships/chart" Target="charts/chart6.xml"/><Relationship Id="rId41" Type="http://schemas.openxmlformats.org/officeDocument/2006/relationships/hyperlink" Target="http://www.cedrssa.gob.mx/files/b/13/74ENIGH2018-Investigaci%C3%B3n.pdf" TargetMode="External"/><Relationship Id="rId54" Type="http://schemas.openxmlformats.org/officeDocument/2006/relationships/hyperlink" Target="http://www.scielo.org.mx/pdf/eunam/v10n29/v10n29a2.pdf" TargetMode="External"/><Relationship Id="rId62" Type="http://schemas.openxmlformats.org/officeDocument/2006/relationships/hyperlink" Target="https://ensanut.insp.mx/encuestas/ensa2000/doctos/informes/ENSA_tomo1.pdf" TargetMode="External"/><Relationship Id="rId70" Type="http://schemas.openxmlformats.org/officeDocument/2006/relationships/hyperlink" Target="https://www.paho.org/hq/index.php?option=com_content&amp;view=article&amp;id=10278:2014-first-ever-universal-health-coverage-day-urges-health-for-all-everywhere&amp;Itemid=1926&amp;lang=es" TargetMode="External"/><Relationship Id="rId75" Type="http://schemas.openxmlformats.org/officeDocument/2006/relationships/hyperlink" Target="http://ceiphistorica.com/wp-content/uploads/2016/01/Bourdieu-Pierre-La-distinci%C3%B3n.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s://www.redalyc.org/pdf/325/32511710.pdf" TargetMode="External"/><Relationship Id="rId49" Type="http://schemas.openxmlformats.org/officeDocument/2006/relationships/hyperlink" Target="https://www.coneval.org.mx/Medicion/MP/Paginas/Pobreza-2018.aspx" TargetMode="External"/><Relationship Id="rId57" Type="http://schemas.openxmlformats.org/officeDocument/2006/relationships/hyperlink" Target="https://www.paho.org/hq/dmdocuments/2012/Alma-Ata-1978Declaracion.pdf" TargetMode="External"/><Relationship Id="rId10" Type="http://schemas.openxmlformats.org/officeDocument/2006/relationships/hyperlink" Target="https://orcid.org/0000-0003-1523-8196" TargetMode="External"/><Relationship Id="rId31" Type="http://schemas.openxmlformats.org/officeDocument/2006/relationships/hyperlink" Target="http://www.ub.edu/geocrit/sn/sn-176.htm" TargetMode="External"/><Relationship Id="rId44" Type="http://schemas.openxmlformats.org/officeDocument/2006/relationships/hyperlink" Target="http://www.dof.gob.mx/nota_detalle.php?codigo=4875243&amp;fecha=11/03/1996" TargetMode="External"/><Relationship Id="rId52" Type="http://schemas.openxmlformats.org/officeDocument/2006/relationships/hyperlink" Target="http://bdsocial.inmujeres.gob.mx/index.php/enigh-37/17-acervo/acervo/19-encuesta-nacional-de-ingresos-y-gastos-de-los-hogares-enigh-1998" TargetMode="External"/><Relationship Id="rId60" Type="http://schemas.openxmlformats.org/officeDocument/2006/relationships/hyperlink" Target="https://www.worldcat.org/title/discutiendo-las-instituciones-de-seguros-especializadas-en-salud-ises/oclc/60717868" TargetMode="External"/><Relationship Id="rId65" Type="http://schemas.openxmlformats.org/officeDocument/2006/relationships/hyperlink" Target="http://www.salud.gob.mx/unidades/cdi/legis/lgs/LEY_GENERAL_DE_SALUD.pdf" TargetMode="External"/><Relationship Id="rId73" Type="http://schemas.openxmlformats.org/officeDocument/2006/relationships/hyperlink" Target="https://doi.org/10.12804/revistas.urosario.edu.co/revsalud/a.6123" TargetMode="External"/><Relationship Id="rId78" Type="http://schemas.openxmlformats.org/officeDocument/2006/relationships/hyperlink" Target="https://docplayer.es/12710041-Reto-del-milenio-en-los-asentamientos-precarios-de-america-latina-y-el-caribe-o-p-t-e-n-o-i-s-a-lu-t-e-p-r-o-v-i-m-u-nd-o-p-p-a-h-p-a-h-o-s-n.html"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scar.pinonaviles@gmail.com" TargetMode="External"/><Relationship Id="rId13" Type="http://schemas.openxmlformats.org/officeDocument/2006/relationships/hyperlink" Target="mailto:capo730211@yahoo.es" TargetMode="External"/><Relationship Id="rId18" Type="http://schemas.openxmlformats.org/officeDocument/2006/relationships/chart" Target="charts/chart4.xml"/><Relationship Id="rId39" Type="http://schemas.openxmlformats.org/officeDocument/2006/relationships/hyperlink" Target="http://www.diputados.gob.mx/LeyesBiblio/compila/pnd.htm" TargetMode="External"/><Relationship Id="rId34" Type="http://schemas.openxmlformats.org/officeDocument/2006/relationships/hyperlink" Target="https://coneval.maps.arcgis.com/apps/dashboards/b1dc36ef3b954ba7aa198b3777cf4911" TargetMode="External"/><Relationship Id="rId50" Type="http://schemas.openxmlformats.org/officeDocument/2006/relationships/hyperlink" Target="https://www.milenio.com/politica/el-coronavirus-se-ensana-con-los-mas-pobres" TargetMode="External"/><Relationship Id="rId55" Type="http://schemas.openxmlformats.org/officeDocument/2006/relationships/hyperlink" Target="https://www.saludpublica.mx/index.php/spm/article/view/579/567" TargetMode="External"/><Relationship Id="rId76" Type="http://schemas.openxmlformats.org/officeDocument/2006/relationships/hyperlink" Target="https://es.unesco.org/themes/educacion-salud-y-bienestar" TargetMode="External"/><Relationship Id="rId7" Type="http://schemas.openxmlformats.org/officeDocument/2006/relationships/footnotes" Target="footnotes.xml"/><Relationship Id="rId71" Type="http://schemas.openxmlformats.org/officeDocument/2006/relationships/hyperlink" Target="https://www.coneval.org.mx/Evaluacion/IEPSM/Documents/Derechos_Sociales/Estudio_Diag_Vivienda_2018.pdf" TargetMode="Externa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chart" Target="charts/chart10.xml"/><Relationship Id="rId40" Type="http://schemas.openxmlformats.org/officeDocument/2006/relationships/hyperlink" Target="https://www.diputados.gob.mx/servicios/datorele/cmprtvs/2PO2/MARZO/123const.htm" TargetMode="External"/><Relationship Id="rId45" Type="http://schemas.openxmlformats.org/officeDocument/2006/relationships/hyperlink" Target="http://www.diputados.gob.mx/LeyesBiblio/compila/pnd.htm" TargetMode="External"/><Relationship Id="rId66" Type="http://schemas.openxmlformats.org/officeDocument/2006/relationships/hyperlink" Target="https://ensanut.insp.mx/encuestas/ensa2000/doctos/informes/ENSA_tomo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3PX77LA_1909\Desktop\tesis%202020%20septie,bre\Copia%20de%20Evoluci&#243;n%20de%20la%20pobreza%20por%20ingresos%201990-2010%2012110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PX77LA_1909\Desktop\Libro1%20ESTADISTICAS%20PARA%20PONENCIA%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PX77LA_1909\Desktop\tesis%202020%20septie,bre\Indicadores%20de%20obesidad,%20hipertensi&#243;n%20y%20diabetes%20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PX77LA_1909\Desktop\tesis%202020%20septie,bre\Indicadores%20de%20obesidad,%20hipertensi&#243;n%20y%20diabetes%20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3PX77LA_1909\Desktop\tesis%202020%20septie,bre\Indicadores%20de%20obesidad,%20hipertensi&#243;n%20y%20diabetes%20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3PX77LA_1909\Desktop\tesis%202020%20septie,bre\Indicadores%20de%20obesidad,%20hipertensi&#243;n%20y%20diabetes%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PX77LA_1909\Downloads\para%20ponenci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CRITORIO%202\PODER%20ADQUISITIVO%20EQUIVALENTE%20DESDE%20194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PX77LA_1909\Desktop\tesis%202020%20septie,bre\tablas%20%20nuevas\1.%20TABLA%20PRINCIPAL%20ESTADISCAS%20AGRUPADAS%201982%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PX77LA_1909\Downloads\para%20ponencia%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PX77LA_1909\Desktop\tesis%202020%20septie,bre\nuevas%20estadistic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PX77LA_1909\Desktop\Libro1%20ESTADISTICAS%20PARA%20PONENCIA%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PX77LA_1909\Desktop\Libro1%20ESTADISTICAS%20PARA%20PONENCI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Grafica 1.</a:t>
            </a:r>
            <a:r>
              <a:rPr lang="en-US" sz="1000" b="1" baseline="0">
                <a:solidFill>
                  <a:sysClr val="windowText" lastClr="000000"/>
                </a:solidFill>
                <a:latin typeface="Arial" panose="020B0604020202020204" pitchFamily="34" charset="0"/>
                <a:cs typeface="Arial" panose="020B0604020202020204" pitchFamily="34" charset="0"/>
              </a:rPr>
              <a:t> </a:t>
            </a:r>
            <a:r>
              <a:rPr lang="en-US" sz="1000" b="0">
                <a:solidFill>
                  <a:sysClr val="windowText" lastClr="000000"/>
                </a:solidFill>
                <a:latin typeface="Arial" panose="020B0604020202020204" pitchFamily="34" charset="0"/>
                <a:cs typeface="Arial" panose="020B0604020202020204" pitchFamily="34" charset="0"/>
              </a:rPr>
              <a:t>Escolaridad de la población mexicana 1980 - 2018</a:t>
            </a:r>
          </a:p>
        </c:rich>
      </c:tx>
      <c:layout>
        <c:manualLayout>
          <c:xMode val="edge"/>
          <c:yMode val="edge"/>
          <c:x val="0.17158479555537792"/>
          <c:y val="0"/>
        </c:manualLayout>
      </c:layout>
      <c:overlay val="0"/>
      <c:spPr>
        <a:noFill/>
        <a:ln>
          <a:noFill/>
        </a:ln>
        <a:effectLst/>
      </c:spPr>
    </c:title>
    <c:autoTitleDeleted val="0"/>
    <c:plotArea>
      <c:layout>
        <c:manualLayout>
          <c:layoutTarget val="inner"/>
          <c:xMode val="edge"/>
          <c:yMode val="edge"/>
          <c:x val="2.2560631697687534E-2"/>
          <c:y val="0.36897905666894593"/>
          <c:w val="0.9503666102650874"/>
          <c:h val="0.37660145901957698"/>
        </c:manualLayout>
      </c:layout>
      <c:lineChart>
        <c:grouping val="standard"/>
        <c:varyColors val="0"/>
        <c:ser>
          <c:idx val="0"/>
          <c:order val="0"/>
          <c:tx>
            <c:strRef>
              <c:f>'pib educacion '!$B$15</c:f>
              <c:strCache>
                <c:ptCount val="1"/>
                <c:pt idx="0">
                  <c:v>ESCOLARIDAD</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'pib educacion '!$C$14:$I$14</c:f>
              <c:numCache>
                <c:formatCode>0</c:formatCode>
                <c:ptCount val="7"/>
                <c:pt idx="0">
                  <c:v>1980</c:v>
                </c:pt>
                <c:pt idx="1">
                  <c:v>1990</c:v>
                </c:pt>
                <c:pt idx="2">
                  <c:v>1994</c:v>
                </c:pt>
                <c:pt idx="3">
                  <c:v>2000</c:v>
                </c:pt>
                <c:pt idx="4">
                  <c:v>2006</c:v>
                </c:pt>
                <c:pt idx="5">
                  <c:v>2012</c:v>
                </c:pt>
                <c:pt idx="6">
                  <c:v>2018</c:v>
                </c:pt>
              </c:numCache>
            </c:numRef>
          </c:cat>
          <c:val>
            <c:numRef>
              <c:f>'pib educacion '!$C$15:$I$15</c:f>
              <c:numCache>
                <c:formatCode>_-* #,##0.0_-;\-* #,##0.0_-;_-* "-"??_-;_-@_-</c:formatCode>
                <c:ptCount val="7"/>
                <c:pt idx="0">
                  <c:v>4.5999999999999996</c:v>
                </c:pt>
                <c:pt idx="1">
                  <c:v>6.5</c:v>
                </c:pt>
                <c:pt idx="2">
                  <c:v>7.2</c:v>
                </c:pt>
                <c:pt idx="3">
                  <c:v>7.5</c:v>
                </c:pt>
                <c:pt idx="4">
                  <c:v>8.3000000000000007</c:v>
                </c:pt>
                <c:pt idx="5">
                  <c:v>8.8000000000000007</c:v>
                </c:pt>
                <c:pt idx="6">
                  <c:v>9.5</c:v>
                </c:pt>
              </c:numCache>
            </c:numRef>
          </c:val>
          <c:smooth val="0"/>
          <c:extLst xmlns:c16r2="http://schemas.microsoft.com/office/drawing/2015/06/chart">
            <c:ext xmlns:c16="http://schemas.microsoft.com/office/drawing/2014/chart" uri="{C3380CC4-5D6E-409C-BE32-E72D297353CC}">
              <c16:uniqueId val="{00000000-731A-44B0-8BE1-324E758AD91C}"/>
            </c:ext>
          </c:extLst>
        </c:ser>
        <c:dLbls>
          <c:dLblPos val="t"/>
          <c:showLegendKey val="0"/>
          <c:showVal val="1"/>
          <c:showCatName val="0"/>
          <c:showSerName val="0"/>
          <c:showPercent val="0"/>
          <c:showBubbleSize val="0"/>
        </c:dLbls>
        <c:marker val="1"/>
        <c:smooth val="0"/>
        <c:axId val="159484928"/>
        <c:axId val="225164032"/>
      </c:lineChart>
      <c:catAx>
        <c:axId val="159484928"/>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25164032"/>
        <c:crosses val="autoZero"/>
        <c:auto val="1"/>
        <c:lblAlgn val="ctr"/>
        <c:lblOffset val="100"/>
        <c:noMultiLvlLbl val="0"/>
      </c:catAx>
      <c:valAx>
        <c:axId val="225164032"/>
        <c:scaling>
          <c:orientation val="minMax"/>
        </c:scaling>
        <c:delete val="1"/>
        <c:axPos val="l"/>
        <c:numFmt formatCode="_-* #,##0.0_-;\-* #,##0.0_-;_-* &quot;-&quot;??_-;_-@_-" sourceLinked="1"/>
        <c:majorTickMark val="out"/>
        <c:minorTickMark val="none"/>
        <c:tickLblPos val="nextTo"/>
        <c:crossAx val="1594849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s-C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latin typeface="Arial" panose="020B0604020202020204" pitchFamily="34" charset="0"/>
                <a:cs typeface="Arial" panose="020B0604020202020204" pitchFamily="34" charset="0"/>
              </a:rPr>
              <a:t>Gráfica</a:t>
            </a:r>
            <a:r>
              <a:rPr lang="es-MX" sz="1000" b="1" baseline="0">
                <a:solidFill>
                  <a:sysClr val="windowText" lastClr="000000"/>
                </a:solidFill>
                <a:latin typeface="Arial" panose="020B0604020202020204" pitchFamily="34" charset="0"/>
                <a:cs typeface="Arial" panose="020B0604020202020204" pitchFamily="34" charset="0"/>
              </a:rPr>
              <a:t> 10. </a:t>
            </a:r>
            <a:r>
              <a:rPr lang="es-MX" sz="1000" b="0" baseline="0">
                <a:solidFill>
                  <a:sysClr val="windowText" lastClr="000000"/>
                </a:solidFill>
                <a:latin typeface="Arial" panose="020B0604020202020204" pitchFamily="34" charset="0"/>
                <a:cs typeface="Arial" panose="020B0604020202020204" pitchFamily="34" charset="0"/>
              </a:rPr>
              <a:t>C</a:t>
            </a:r>
            <a:r>
              <a:rPr lang="es-MX" sz="1000" b="0">
                <a:solidFill>
                  <a:sysClr val="windowText" lastClr="000000"/>
                </a:solidFill>
                <a:latin typeface="Arial" panose="020B0604020202020204" pitchFamily="34" charset="0"/>
                <a:cs typeface="Arial" panose="020B0604020202020204" pitchFamily="34" charset="0"/>
              </a:rPr>
              <a:t>arencia por acceso a servicios de vivienda</a:t>
            </a:r>
            <a:r>
              <a:rPr lang="es-MX" sz="1000" b="0" baseline="0">
                <a:solidFill>
                  <a:sysClr val="windowText" lastClr="000000"/>
                </a:solidFill>
                <a:latin typeface="Arial" panose="020B0604020202020204" pitchFamily="34" charset="0"/>
                <a:cs typeface="Arial" panose="020B0604020202020204" pitchFamily="34" charset="0"/>
              </a:rPr>
              <a:t> en México</a:t>
            </a:r>
            <a:r>
              <a:rPr lang="es-MX" sz="1000" b="0">
                <a:solidFill>
                  <a:sysClr val="windowText" lastClr="000000"/>
                </a:solidFill>
                <a:latin typeface="Arial" panose="020B0604020202020204" pitchFamily="34" charset="0"/>
                <a:cs typeface="Arial" panose="020B0604020202020204" pitchFamily="34" charset="0"/>
              </a:rPr>
              <a:t> 2018</a:t>
            </a:r>
          </a:p>
        </c:rich>
      </c:tx>
      <c:layout>
        <c:manualLayout>
          <c:xMode val="edge"/>
          <c:yMode val="edge"/>
          <c:x val="0.11558455449780727"/>
          <c:y val="4.0174087713424844E-2"/>
        </c:manualLayout>
      </c:layout>
      <c:overlay val="0"/>
      <c:spPr>
        <a:noFill/>
        <a:ln>
          <a:noFill/>
        </a:ln>
        <a:effectLst/>
      </c:spPr>
    </c:title>
    <c:autoTitleDeleted val="0"/>
    <c:plotArea>
      <c:layout>
        <c:manualLayout>
          <c:layoutTarget val="inner"/>
          <c:xMode val="edge"/>
          <c:yMode val="edge"/>
          <c:x val="3.5577134935849117E-2"/>
          <c:y val="0.23525720452456134"/>
          <c:w val="0.94153712093865249"/>
          <c:h val="0.38465965865941887"/>
        </c:manualLayout>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Hoja1!$AG$60:$AG$69</c:f>
              <c:strCache>
                <c:ptCount val="10"/>
                <c:pt idx="0">
                  <c:v>Gerrero </c:v>
                </c:pt>
                <c:pt idx="1">
                  <c:v>Oaxaca</c:v>
                </c:pt>
                <c:pt idx="2">
                  <c:v>Chiapas</c:v>
                </c:pt>
                <c:pt idx="3">
                  <c:v>Tabasco</c:v>
                </c:pt>
                <c:pt idx="4">
                  <c:v>Veracruz</c:v>
                </c:pt>
                <c:pt idx="5">
                  <c:v>Chihuahua</c:v>
                </c:pt>
                <c:pt idx="6">
                  <c:v>Coahuila</c:v>
                </c:pt>
                <c:pt idx="7">
                  <c:v>CDMX</c:v>
                </c:pt>
                <c:pt idx="8">
                  <c:v>Aguascalientes</c:v>
                </c:pt>
                <c:pt idx="9">
                  <c:v>Nuevo León</c:v>
                </c:pt>
              </c:strCache>
            </c:strRef>
          </c:cat>
          <c:val>
            <c:numRef>
              <c:f>Hoja1!$AH$60:$AH$69</c:f>
              <c:numCache>
                <c:formatCode>0.0%</c:formatCode>
                <c:ptCount val="10"/>
                <c:pt idx="0">
                  <c:v>0.58599999999999997</c:v>
                </c:pt>
                <c:pt idx="1">
                  <c:v>0.58299999999999996</c:v>
                </c:pt>
                <c:pt idx="2">
                  <c:v>0.57099999999999995</c:v>
                </c:pt>
                <c:pt idx="3">
                  <c:v>0.46</c:v>
                </c:pt>
                <c:pt idx="4">
                  <c:v>0.42099999999999999</c:v>
                </c:pt>
                <c:pt idx="5">
                  <c:v>0.05</c:v>
                </c:pt>
                <c:pt idx="6">
                  <c:v>3.9E-2</c:v>
                </c:pt>
                <c:pt idx="7">
                  <c:v>2.9000000000000001E-2</c:v>
                </c:pt>
                <c:pt idx="8">
                  <c:v>2.5000000000000001E-2</c:v>
                </c:pt>
                <c:pt idx="9">
                  <c:v>2.4E-2</c:v>
                </c:pt>
              </c:numCache>
            </c:numRef>
          </c:val>
          <c:extLst xmlns:c16r2="http://schemas.microsoft.com/office/drawing/2015/06/chart">
            <c:ext xmlns:c16="http://schemas.microsoft.com/office/drawing/2014/chart" uri="{C3380CC4-5D6E-409C-BE32-E72D297353CC}">
              <c16:uniqueId val="{00000000-57A6-489F-BDED-842054FE7BD9}"/>
            </c:ext>
          </c:extLst>
        </c:ser>
        <c:dLbls>
          <c:dLblPos val="outEnd"/>
          <c:showLegendKey val="0"/>
          <c:showVal val="1"/>
          <c:showCatName val="0"/>
          <c:showSerName val="0"/>
          <c:showPercent val="0"/>
          <c:showBubbleSize val="0"/>
        </c:dLbls>
        <c:gapWidth val="219"/>
        <c:overlap val="-27"/>
        <c:axId val="233625088"/>
        <c:axId val="233519296"/>
      </c:barChart>
      <c:catAx>
        <c:axId val="2336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519296"/>
        <c:crosses val="autoZero"/>
        <c:auto val="1"/>
        <c:lblAlgn val="ctr"/>
        <c:lblOffset val="100"/>
        <c:noMultiLvlLbl val="0"/>
      </c:catAx>
      <c:valAx>
        <c:axId val="233519296"/>
        <c:scaling>
          <c:orientation val="minMax"/>
        </c:scaling>
        <c:delete val="1"/>
        <c:axPos val="l"/>
        <c:numFmt formatCode="0.0%" sourceLinked="1"/>
        <c:majorTickMark val="none"/>
        <c:minorTickMark val="none"/>
        <c:tickLblPos val="nextTo"/>
        <c:crossAx val="23362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s-C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rPr>
              <a:t>Gráfica 11. </a:t>
            </a:r>
            <a:r>
              <a:rPr lang="es-MX" sz="1000" b="0">
                <a:solidFill>
                  <a:sysClr val="windowText" lastClr="000000"/>
                </a:solidFill>
              </a:rPr>
              <a:t>Letalidad por  contagio de Covid-19 en México 2020 </a:t>
            </a:r>
          </a:p>
        </c:rich>
      </c:tx>
      <c:overlay val="0"/>
      <c:spPr>
        <a:noFill/>
        <a:ln>
          <a:noFill/>
        </a:ln>
        <a:effectLst/>
      </c:sp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Letalidad!$D$16:$D$26</c:f>
              <c:strCache>
                <c:ptCount val="11"/>
                <c:pt idx="0">
                  <c:v>Chiapas</c:v>
                </c:pt>
                <c:pt idx="1">
                  <c:v>Veracruz </c:v>
                </c:pt>
                <c:pt idx="2">
                  <c:v>Puebla</c:v>
                </c:pt>
                <c:pt idx="3">
                  <c:v>Guerrero</c:v>
                </c:pt>
                <c:pt idx="4">
                  <c:v>Aguascalientes</c:v>
                </c:pt>
                <c:pt idx="5">
                  <c:v>Sonora</c:v>
                </c:pt>
                <c:pt idx="6">
                  <c:v>Oaxaca</c:v>
                </c:pt>
                <c:pt idx="7">
                  <c:v>Coahuila </c:v>
                </c:pt>
                <c:pt idx="8">
                  <c:v>CDMX</c:v>
                </c:pt>
                <c:pt idx="9">
                  <c:v>Nuevo León</c:v>
                </c:pt>
                <c:pt idx="10">
                  <c:v>B. California Sur</c:v>
                </c:pt>
              </c:strCache>
            </c:strRef>
          </c:cat>
          <c:val>
            <c:numRef>
              <c:f>Letalidad!$E$16:$E$26</c:f>
              <c:numCache>
                <c:formatCode>0.0</c:formatCode>
                <c:ptCount val="11"/>
                <c:pt idx="0">
                  <c:v>15.338227582590456</c:v>
                </c:pt>
                <c:pt idx="1">
                  <c:v>13.494728621632175</c:v>
                </c:pt>
                <c:pt idx="2">
                  <c:v>13.185676392572944</c:v>
                </c:pt>
                <c:pt idx="3">
                  <c:v>10.440060698027315</c:v>
                </c:pt>
                <c:pt idx="4">
                  <c:v>8.5129118432769371</c:v>
                </c:pt>
                <c:pt idx="5">
                  <c:v>8.0189839177691429</c:v>
                </c:pt>
                <c:pt idx="6">
                  <c:v>7.9462421711899793</c:v>
                </c:pt>
                <c:pt idx="7">
                  <c:v>7.5720295261528694</c:v>
                </c:pt>
                <c:pt idx="8">
                  <c:v>7.0351730972589008</c:v>
                </c:pt>
                <c:pt idx="9">
                  <c:v>6.9934102141680397</c:v>
                </c:pt>
                <c:pt idx="10">
                  <c:v>4.7489123221001401</c:v>
                </c:pt>
              </c:numCache>
            </c:numRef>
          </c:val>
          <c:extLst xmlns:c16r2="http://schemas.microsoft.com/office/drawing/2015/06/chart">
            <c:ext xmlns:c16="http://schemas.microsoft.com/office/drawing/2014/chart" uri="{C3380CC4-5D6E-409C-BE32-E72D297353CC}">
              <c16:uniqueId val="{00000000-3E29-4AB8-85C9-9773CF730227}"/>
            </c:ext>
          </c:extLst>
        </c:ser>
        <c:dLbls>
          <c:dLblPos val="outEnd"/>
          <c:showLegendKey val="0"/>
          <c:showVal val="1"/>
          <c:showCatName val="0"/>
          <c:showSerName val="0"/>
          <c:showPercent val="0"/>
          <c:showBubbleSize val="0"/>
        </c:dLbls>
        <c:gapWidth val="219"/>
        <c:overlap val="-27"/>
        <c:axId val="159484416"/>
        <c:axId val="233799680"/>
      </c:barChart>
      <c:catAx>
        <c:axId val="15948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799680"/>
        <c:crosses val="autoZero"/>
        <c:auto val="1"/>
        <c:lblAlgn val="ctr"/>
        <c:lblOffset val="100"/>
        <c:noMultiLvlLbl val="0"/>
      </c:catAx>
      <c:valAx>
        <c:axId val="233799680"/>
        <c:scaling>
          <c:orientation val="minMax"/>
        </c:scaling>
        <c:delete val="1"/>
        <c:axPos val="l"/>
        <c:numFmt formatCode="0.0" sourceLinked="1"/>
        <c:majorTickMark val="none"/>
        <c:minorTickMark val="none"/>
        <c:tickLblPos val="nextTo"/>
        <c:crossAx val="15948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es-MX" sz="1100" b="1">
                <a:solidFill>
                  <a:sysClr val="windowText" lastClr="000000"/>
                </a:solidFill>
                <a:effectLst/>
                <a:latin typeface="Arial" panose="020B0604020202020204" pitchFamily="34" charset="0"/>
                <a:cs typeface="Arial" panose="020B0604020202020204" pitchFamily="34" charset="0"/>
              </a:rPr>
              <a:t>Gráfica</a:t>
            </a:r>
            <a:r>
              <a:rPr lang="es-MX" sz="1100" b="1" baseline="0">
                <a:solidFill>
                  <a:sysClr val="windowText" lastClr="000000"/>
                </a:solidFill>
                <a:effectLst/>
                <a:latin typeface="Arial" panose="020B0604020202020204" pitchFamily="34" charset="0"/>
                <a:cs typeface="Arial" panose="020B0604020202020204" pitchFamily="34" charset="0"/>
              </a:rPr>
              <a:t> 12. </a:t>
            </a:r>
            <a:r>
              <a:rPr lang="es-MX" sz="1100" b="0">
                <a:solidFill>
                  <a:sysClr val="windowText" lastClr="000000"/>
                </a:solidFill>
                <a:effectLst/>
                <a:latin typeface="Arial" panose="020B0604020202020204" pitchFamily="34" charset="0"/>
                <a:cs typeface="Arial" panose="020B0604020202020204" pitchFamily="34" charset="0"/>
              </a:rPr>
              <a:t>Prevalencia de hipertensión arterial en México 2020</a:t>
            </a:r>
          </a:p>
        </c:rich>
      </c:tx>
      <c:overlay val="0"/>
      <c:spPr>
        <a:noFill/>
        <a:ln>
          <a:noFill/>
        </a:ln>
        <a:effectLst/>
      </c:spPr>
    </c:title>
    <c:autoTitleDeleted val="0"/>
    <c:plotArea>
      <c:layout>
        <c:manualLayout>
          <c:layoutTarget val="inner"/>
          <c:xMode val="edge"/>
          <c:yMode val="edge"/>
          <c:x val="0.11317949939888876"/>
          <c:y val="0.21244383442895323"/>
          <c:w val="0.87815150169502543"/>
          <c:h val="0.27533086935561624"/>
        </c:manualLayout>
      </c:layout>
      <c:barChart>
        <c:barDir val="col"/>
        <c:grouping val="clustered"/>
        <c:varyColors val="0"/>
        <c:ser>
          <c:idx val="0"/>
          <c:order val="0"/>
          <c:tx>
            <c:strRef>
              <c:f>Hoja1!$F$56</c:f>
              <c:strCache>
                <c:ptCount val="1"/>
                <c:pt idx="0">
                  <c:v>hipr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Hoja1!$E$57:$E$67</c:f>
              <c:strCache>
                <c:ptCount val="11"/>
                <c:pt idx="0">
                  <c:v>Hermosillo, Son.</c:v>
                </c:pt>
                <c:pt idx="1">
                  <c:v>S. Pedro Garza, N.L.</c:v>
                </c:pt>
                <c:pt idx="2">
                  <c:v>La Paz, BCS.</c:v>
                </c:pt>
                <c:pt idx="3">
                  <c:v>M. Hidalgo, CDMX.</c:v>
                </c:pt>
                <c:pt idx="4">
                  <c:v>Las Choapas, Ver.</c:v>
                </c:pt>
                <c:pt idx="5">
                  <c:v>Monclova, Coah.</c:v>
                </c:pt>
                <c:pt idx="6">
                  <c:v>Comalapa, Chis.</c:v>
                </c:pt>
                <c:pt idx="7">
                  <c:v>V. Carranza, Pue.</c:v>
                </c:pt>
                <c:pt idx="8">
                  <c:v>Chilapa, Gro.</c:v>
                </c:pt>
                <c:pt idx="9">
                  <c:v>Jesús María, Ags.</c:v>
                </c:pt>
                <c:pt idx="10">
                  <c:v>Ojitlán, Oax.</c:v>
                </c:pt>
              </c:strCache>
            </c:strRef>
          </c:cat>
          <c:val>
            <c:numRef>
              <c:f>Hoja1!$F$57:$F$67</c:f>
              <c:numCache>
                <c:formatCode>0.0</c:formatCode>
                <c:ptCount val="11"/>
                <c:pt idx="0">
                  <c:v>25.974872333430586</c:v>
                </c:pt>
                <c:pt idx="1">
                  <c:v>24.078481081713644</c:v>
                </c:pt>
                <c:pt idx="2">
                  <c:v>23.859795922044608</c:v>
                </c:pt>
                <c:pt idx="3">
                  <c:v>21.30080295678821</c:v>
                </c:pt>
                <c:pt idx="4">
                  <c:v>20.537973962022733</c:v>
                </c:pt>
                <c:pt idx="5">
                  <c:v>20.433468384768481</c:v>
                </c:pt>
                <c:pt idx="6">
                  <c:v>17.111158454808116</c:v>
                </c:pt>
                <c:pt idx="7">
                  <c:v>15.987646869939093</c:v>
                </c:pt>
                <c:pt idx="8">
                  <c:v>14.873463760626279</c:v>
                </c:pt>
                <c:pt idx="9">
                  <c:v>12.356755466214269</c:v>
                </c:pt>
                <c:pt idx="10">
                  <c:v>12.217684863370692</c:v>
                </c:pt>
              </c:numCache>
            </c:numRef>
          </c:val>
          <c:extLst xmlns:c16r2="http://schemas.microsoft.com/office/drawing/2015/06/chart">
            <c:ext xmlns:c16="http://schemas.microsoft.com/office/drawing/2014/chart" uri="{C3380CC4-5D6E-409C-BE32-E72D297353CC}">
              <c16:uniqueId val="{00000000-AEC1-4C43-BE09-F815D9E7608A}"/>
            </c:ext>
          </c:extLst>
        </c:ser>
        <c:dLbls>
          <c:dLblPos val="outEnd"/>
          <c:showLegendKey val="0"/>
          <c:showVal val="1"/>
          <c:showCatName val="0"/>
          <c:showSerName val="0"/>
          <c:showPercent val="0"/>
          <c:showBubbleSize val="0"/>
        </c:dLbls>
        <c:gapWidth val="219"/>
        <c:overlap val="-27"/>
        <c:axId val="225069056"/>
        <c:axId val="233801984"/>
      </c:barChart>
      <c:catAx>
        <c:axId val="22506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801984"/>
        <c:crosses val="autoZero"/>
        <c:auto val="1"/>
        <c:lblAlgn val="ctr"/>
        <c:lblOffset val="100"/>
        <c:noMultiLvlLbl val="0"/>
      </c:catAx>
      <c:valAx>
        <c:axId val="233801984"/>
        <c:scaling>
          <c:orientation val="minMax"/>
        </c:scaling>
        <c:delete val="1"/>
        <c:axPos val="l"/>
        <c:numFmt formatCode="0.0" sourceLinked="1"/>
        <c:majorTickMark val="none"/>
        <c:minorTickMark val="none"/>
        <c:tickLblPos val="nextTo"/>
        <c:crossAx val="22506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effectLst/>
                <a:latin typeface="Arial" panose="020B0604020202020204" pitchFamily="34" charset="0"/>
                <a:cs typeface="Arial" panose="020B0604020202020204" pitchFamily="34" charset="0"/>
              </a:rPr>
              <a:t>Gráfica</a:t>
            </a:r>
            <a:r>
              <a:rPr lang="es-MX" sz="1000" b="1" baseline="0">
                <a:solidFill>
                  <a:sysClr val="windowText" lastClr="000000"/>
                </a:solidFill>
                <a:effectLst/>
                <a:latin typeface="Arial" panose="020B0604020202020204" pitchFamily="34" charset="0"/>
                <a:cs typeface="Arial" panose="020B0604020202020204" pitchFamily="34" charset="0"/>
              </a:rPr>
              <a:t> 13. </a:t>
            </a:r>
            <a:r>
              <a:rPr lang="es-MX" sz="1000" b="0">
                <a:solidFill>
                  <a:sysClr val="windowText" lastClr="000000"/>
                </a:solidFill>
                <a:effectLst/>
                <a:latin typeface="Arial" panose="020B0604020202020204" pitchFamily="34" charset="0"/>
                <a:cs typeface="Arial" panose="020B0604020202020204" pitchFamily="34" charset="0"/>
              </a:rPr>
              <a:t>Prevalencia de diabetes</a:t>
            </a:r>
            <a:r>
              <a:rPr lang="es-MX" sz="1000" b="0" baseline="0">
                <a:solidFill>
                  <a:sysClr val="windowText" lastClr="000000"/>
                </a:solidFill>
                <a:effectLst/>
                <a:latin typeface="Arial" panose="020B0604020202020204" pitchFamily="34" charset="0"/>
                <a:cs typeface="Arial" panose="020B0604020202020204" pitchFamily="34" charset="0"/>
              </a:rPr>
              <a:t> mellitus</a:t>
            </a:r>
            <a:r>
              <a:rPr lang="es-MX" sz="1000" b="0">
                <a:solidFill>
                  <a:sysClr val="windowText" lastClr="000000"/>
                </a:solidFill>
                <a:effectLst/>
                <a:latin typeface="Arial" panose="020B0604020202020204" pitchFamily="34" charset="0"/>
                <a:cs typeface="Arial" panose="020B0604020202020204" pitchFamily="34" charset="0"/>
              </a:rPr>
              <a:t> en México 2020</a:t>
            </a:r>
          </a:p>
        </c:rich>
      </c:tx>
      <c:overlay val="0"/>
      <c:spPr>
        <a:noFill/>
        <a:ln>
          <a:noFill/>
        </a:ln>
        <a:effectLst/>
      </c:spPr>
    </c:title>
    <c:autoTitleDeleted val="0"/>
    <c:plotArea>
      <c:layout>
        <c:manualLayout>
          <c:layoutTarget val="inner"/>
          <c:xMode val="edge"/>
          <c:yMode val="edge"/>
          <c:x val="0.1096191215776927"/>
          <c:y val="0.17665194018912628"/>
          <c:w val="0.86691327518486416"/>
          <c:h val="0.33073861816438882"/>
        </c:manualLayout>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Hoja1!$H$56:$H$66</c:f>
              <c:strCache>
                <c:ptCount val="11"/>
                <c:pt idx="0">
                  <c:v>Monclova, Coah.</c:v>
                </c:pt>
                <c:pt idx="1">
                  <c:v>M. Hidalgo, CDMX</c:v>
                </c:pt>
                <c:pt idx="2">
                  <c:v>Las Choapas, Ver</c:v>
                </c:pt>
                <c:pt idx="3">
                  <c:v>S. Pedro Garza, N.L.</c:v>
                </c:pt>
                <c:pt idx="4">
                  <c:v>Hermosillo, Son.</c:v>
                </c:pt>
                <c:pt idx="5">
                  <c:v>Ojitlán, Oax.</c:v>
                </c:pt>
                <c:pt idx="6">
                  <c:v>Chilapa, Gro.</c:v>
                </c:pt>
                <c:pt idx="7">
                  <c:v>La Paz, BCS.</c:v>
                </c:pt>
                <c:pt idx="8">
                  <c:v>V. Carranza, Pue.</c:v>
                </c:pt>
                <c:pt idx="9">
                  <c:v>Comalapa, Chis.</c:v>
                </c:pt>
                <c:pt idx="10">
                  <c:v>Jesús María, Ags.</c:v>
                </c:pt>
              </c:strCache>
            </c:strRef>
          </c:cat>
          <c:val>
            <c:numRef>
              <c:f>Hoja1!$I$56:$I$66</c:f>
              <c:numCache>
                <c:formatCode>General</c:formatCode>
                <c:ptCount val="11"/>
                <c:pt idx="0">
                  <c:v>13.7</c:v>
                </c:pt>
                <c:pt idx="1">
                  <c:v>13.3</c:v>
                </c:pt>
                <c:pt idx="2">
                  <c:v>11</c:v>
                </c:pt>
                <c:pt idx="3">
                  <c:v>11</c:v>
                </c:pt>
                <c:pt idx="4">
                  <c:v>10.6</c:v>
                </c:pt>
                <c:pt idx="5">
                  <c:v>10.4</c:v>
                </c:pt>
                <c:pt idx="6">
                  <c:v>10.199999999999999</c:v>
                </c:pt>
                <c:pt idx="7">
                  <c:v>9.6999999999999993</c:v>
                </c:pt>
                <c:pt idx="8">
                  <c:v>9.6</c:v>
                </c:pt>
                <c:pt idx="9">
                  <c:v>8.3000000000000007</c:v>
                </c:pt>
                <c:pt idx="10">
                  <c:v>6.7</c:v>
                </c:pt>
              </c:numCache>
            </c:numRef>
          </c:val>
          <c:extLst xmlns:c16r2="http://schemas.microsoft.com/office/drawing/2015/06/chart">
            <c:ext xmlns:c16="http://schemas.microsoft.com/office/drawing/2014/chart" uri="{C3380CC4-5D6E-409C-BE32-E72D297353CC}">
              <c16:uniqueId val="{00000000-F368-4DF0-80EF-B03A86473623}"/>
            </c:ext>
          </c:extLst>
        </c:ser>
        <c:dLbls>
          <c:dLblPos val="outEnd"/>
          <c:showLegendKey val="0"/>
          <c:showVal val="1"/>
          <c:showCatName val="0"/>
          <c:showSerName val="0"/>
          <c:showPercent val="0"/>
          <c:showBubbleSize val="0"/>
        </c:dLbls>
        <c:gapWidth val="219"/>
        <c:overlap val="-27"/>
        <c:axId val="233625600"/>
        <c:axId val="233803712"/>
      </c:barChart>
      <c:catAx>
        <c:axId val="23362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803712"/>
        <c:crosses val="autoZero"/>
        <c:auto val="1"/>
        <c:lblAlgn val="ctr"/>
        <c:lblOffset val="100"/>
        <c:noMultiLvlLbl val="0"/>
      </c:catAx>
      <c:valAx>
        <c:axId val="233803712"/>
        <c:scaling>
          <c:orientation val="minMax"/>
        </c:scaling>
        <c:delete val="1"/>
        <c:axPos val="l"/>
        <c:numFmt formatCode="General" sourceLinked="1"/>
        <c:majorTickMark val="none"/>
        <c:minorTickMark val="none"/>
        <c:tickLblPos val="nextTo"/>
        <c:crossAx val="2336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50" b="1">
                <a:solidFill>
                  <a:sysClr val="windowText" lastClr="000000"/>
                </a:solidFill>
                <a:effectLst/>
                <a:latin typeface="Arial" panose="020B0604020202020204" pitchFamily="34" charset="0"/>
                <a:cs typeface="Arial" panose="020B0604020202020204" pitchFamily="34" charset="0"/>
              </a:rPr>
              <a:t>Gráfica 14. </a:t>
            </a:r>
            <a:r>
              <a:rPr lang="es-MX" sz="1050" b="0">
                <a:solidFill>
                  <a:sysClr val="windowText" lastClr="000000"/>
                </a:solidFill>
                <a:effectLst/>
                <a:latin typeface="Arial" panose="020B0604020202020204" pitchFamily="34" charset="0"/>
                <a:cs typeface="Arial" panose="020B0604020202020204" pitchFamily="34" charset="0"/>
              </a:rPr>
              <a:t>Prevalencia de obesidad</a:t>
            </a:r>
            <a:r>
              <a:rPr lang="es-MX" sz="1050" b="0" baseline="0">
                <a:solidFill>
                  <a:sysClr val="windowText" lastClr="000000"/>
                </a:solidFill>
                <a:effectLst/>
                <a:latin typeface="Arial" panose="020B0604020202020204" pitchFamily="34" charset="0"/>
                <a:cs typeface="Arial" panose="020B0604020202020204" pitchFamily="34" charset="0"/>
              </a:rPr>
              <a:t> </a:t>
            </a:r>
            <a:r>
              <a:rPr lang="es-MX" sz="1050" b="0">
                <a:solidFill>
                  <a:sysClr val="windowText" lastClr="000000"/>
                </a:solidFill>
                <a:effectLst/>
                <a:latin typeface="Arial" panose="020B0604020202020204" pitchFamily="34" charset="0"/>
                <a:cs typeface="Arial" panose="020B0604020202020204" pitchFamily="34" charset="0"/>
              </a:rPr>
              <a:t>en México 2020 </a:t>
            </a:r>
          </a:p>
        </c:rich>
      </c:tx>
      <c:layout>
        <c:manualLayout>
          <c:xMode val="edge"/>
          <c:yMode val="edge"/>
          <c:x val="0.22660570692724852"/>
          <c:y val="3.6745406824146981E-2"/>
        </c:manualLayout>
      </c:layout>
      <c:overlay val="0"/>
      <c:spPr>
        <a:noFill/>
        <a:ln>
          <a:noFill/>
        </a:ln>
        <a:effectLst/>
      </c:spPr>
    </c:title>
    <c:autoTitleDeleted val="0"/>
    <c:plotArea>
      <c:layout>
        <c:manualLayout>
          <c:layoutTarget val="inner"/>
          <c:xMode val="edge"/>
          <c:yMode val="edge"/>
          <c:x val="9.8674995673127514E-2"/>
          <c:y val="0.17309352517985613"/>
          <c:w val="0.87413261819498944"/>
          <c:h val="0.36393716054518882"/>
        </c:manualLayout>
      </c:layout>
      <c:barChart>
        <c:barDir val="col"/>
        <c:grouping val="clustered"/>
        <c:varyColors val="0"/>
        <c:ser>
          <c:idx val="0"/>
          <c:order val="0"/>
          <c:tx>
            <c:strRef>
              <c:f>Hoja1!$B$56</c:f>
              <c:strCache>
                <c:ptCount val="1"/>
                <c:pt idx="0">
                  <c:v>obesidad</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Hoja1!$A$57:$A$67</c:f>
              <c:strCache>
                <c:ptCount val="11"/>
                <c:pt idx="0">
                  <c:v>Hermosillo, Son</c:v>
                </c:pt>
                <c:pt idx="1">
                  <c:v>La Paz, BCS</c:v>
                </c:pt>
                <c:pt idx="2">
                  <c:v>M. Hidalgo, CDMX</c:v>
                </c:pt>
                <c:pt idx="3">
                  <c:v>Monclova, Coah.</c:v>
                </c:pt>
                <c:pt idx="4">
                  <c:v>Las Choapas, Ver.</c:v>
                </c:pt>
                <c:pt idx="5">
                  <c:v>S, Pedro Graza, N.L.</c:v>
                </c:pt>
                <c:pt idx="6">
                  <c:v>Jesús María, Ags.</c:v>
                </c:pt>
                <c:pt idx="7">
                  <c:v>Ojitlán, Oax.</c:v>
                </c:pt>
                <c:pt idx="8">
                  <c:v>V. Carranza, Pue.</c:v>
                </c:pt>
                <c:pt idx="9">
                  <c:v>Chilapa, Gro.</c:v>
                </c:pt>
                <c:pt idx="10">
                  <c:v>Comalapa, Chis.</c:v>
                </c:pt>
              </c:strCache>
            </c:strRef>
          </c:cat>
          <c:val>
            <c:numRef>
              <c:f>Hoja1!$B$57:$B$67</c:f>
              <c:numCache>
                <c:formatCode>0.0</c:formatCode>
                <c:ptCount val="11"/>
                <c:pt idx="0">
                  <c:v>49.727969228148858</c:v>
                </c:pt>
                <c:pt idx="1">
                  <c:v>48.45051774909917</c:v>
                </c:pt>
                <c:pt idx="2">
                  <c:v>44.040562438096025</c:v>
                </c:pt>
                <c:pt idx="3">
                  <c:v>41.139414848294976</c:v>
                </c:pt>
                <c:pt idx="4">
                  <c:v>36.729480359566764</c:v>
                </c:pt>
                <c:pt idx="5">
                  <c:v>35.172972128164268</c:v>
                </c:pt>
                <c:pt idx="6">
                  <c:v>34.731715384683362</c:v>
                </c:pt>
                <c:pt idx="7">
                  <c:v>31.636695509209339</c:v>
                </c:pt>
                <c:pt idx="8">
                  <c:v>31.122202243211671</c:v>
                </c:pt>
                <c:pt idx="9">
                  <c:v>29.317429884475725</c:v>
                </c:pt>
                <c:pt idx="10">
                  <c:v>28.413718790090886</c:v>
                </c:pt>
              </c:numCache>
            </c:numRef>
          </c:val>
          <c:extLst xmlns:c16r2="http://schemas.microsoft.com/office/drawing/2015/06/chart">
            <c:ext xmlns:c16="http://schemas.microsoft.com/office/drawing/2014/chart" uri="{C3380CC4-5D6E-409C-BE32-E72D297353CC}">
              <c16:uniqueId val="{00000000-D149-4D8F-8626-670F183D2628}"/>
            </c:ext>
          </c:extLst>
        </c:ser>
        <c:dLbls>
          <c:dLblPos val="outEnd"/>
          <c:showLegendKey val="0"/>
          <c:showVal val="1"/>
          <c:showCatName val="0"/>
          <c:showSerName val="0"/>
          <c:showPercent val="0"/>
          <c:showBubbleSize val="0"/>
        </c:dLbls>
        <c:gapWidth val="219"/>
        <c:overlap val="-27"/>
        <c:axId val="233627136"/>
        <c:axId val="233805440"/>
      </c:barChart>
      <c:catAx>
        <c:axId val="23362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805440"/>
        <c:crosses val="autoZero"/>
        <c:auto val="1"/>
        <c:lblAlgn val="ctr"/>
        <c:lblOffset val="100"/>
        <c:noMultiLvlLbl val="0"/>
      </c:catAx>
      <c:valAx>
        <c:axId val="233805440"/>
        <c:scaling>
          <c:orientation val="minMax"/>
        </c:scaling>
        <c:delete val="1"/>
        <c:axPos val="l"/>
        <c:numFmt formatCode="0.0" sourceLinked="1"/>
        <c:majorTickMark val="none"/>
        <c:minorTickMark val="none"/>
        <c:tickLblPos val="nextTo"/>
        <c:crossAx val="23362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i="0" u="none" strike="noStrike" baseline="0">
                <a:solidFill>
                  <a:sysClr val="windowText" lastClr="000000"/>
                </a:solidFill>
                <a:effectLst/>
                <a:latin typeface="Arial" panose="020B0604020202020204" pitchFamily="34" charset="0"/>
                <a:cs typeface="Arial" panose="020B0604020202020204" pitchFamily="34" charset="0"/>
              </a:rPr>
              <a:t>Gráfica 2. </a:t>
            </a:r>
            <a:r>
              <a:rPr lang="es-MX" sz="1000" b="0">
                <a:solidFill>
                  <a:sysClr val="windowText" lastClr="000000"/>
                </a:solidFill>
                <a:latin typeface="Arial" panose="020B0604020202020204" pitchFamily="34" charset="0"/>
                <a:cs typeface="Arial" panose="020B0604020202020204" pitchFamily="34" charset="0"/>
              </a:rPr>
              <a:t>Años</a:t>
            </a:r>
            <a:r>
              <a:rPr lang="es-MX" sz="1000" b="0" baseline="0">
                <a:solidFill>
                  <a:sysClr val="windowText" lastClr="000000"/>
                </a:solidFill>
                <a:latin typeface="Arial" panose="020B0604020202020204" pitchFamily="34" charset="0"/>
                <a:cs typeface="Arial" panose="020B0604020202020204" pitchFamily="34" charset="0"/>
              </a:rPr>
              <a:t> de e</a:t>
            </a:r>
            <a:r>
              <a:rPr lang="es-MX" sz="1000" b="0">
                <a:solidFill>
                  <a:sysClr val="windowText" lastClr="000000"/>
                </a:solidFill>
                <a:latin typeface="Arial" panose="020B0604020202020204" pitchFamily="34" charset="0"/>
                <a:cs typeface="Arial" panose="020B0604020202020204" pitchFamily="34" charset="0"/>
              </a:rPr>
              <a:t>scolaridad por entidad federativa en 2018  </a:t>
            </a:r>
          </a:p>
        </c:rich>
      </c:tx>
      <c:overlay val="0"/>
      <c:spPr>
        <a:noFill/>
        <a:ln>
          <a:noFill/>
        </a:ln>
        <a:effectLst/>
      </c:spPr>
    </c:title>
    <c:autoTitleDeleted val="0"/>
    <c:plotArea>
      <c:layout>
        <c:manualLayout>
          <c:layoutTarget val="inner"/>
          <c:xMode val="edge"/>
          <c:yMode val="edge"/>
          <c:x val="3.8294016710233011E-2"/>
          <c:y val="0.24560693641618497"/>
          <c:w val="0.93681347367220646"/>
          <c:h val="0.24637886304674345"/>
        </c:manualLayout>
      </c:layout>
      <c:barChart>
        <c:barDir val="col"/>
        <c:grouping val="clustered"/>
        <c:varyColors val="0"/>
        <c:ser>
          <c:idx val="0"/>
          <c:order val="0"/>
          <c:tx>
            <c:strRef>
              <c:f>Hoja2!$C$2:$C$3</c:f>
              <c:strCache>
                <c:ptCount val="2"/>
                <c:pt idx="0">
                  <c:v>Rezago educativo 2018</c:v>
                </c:pt>
                <c:pt idx="1">
                  <c:v>Proporcion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Hoja2!$B$4:$B$15</c:f>
              <c:strCache>
                <c:ptCount val="12"/>
                <c:pt idx="0">
                  <c:v>Chiapas</c:v>
                </c:pt>
                <c:pt idx="1">
                  <c:v>Oaxaca</c:v>
                </c:pt>
                <c:pt idx="2">
                  <c:v>Veracruz</c:v>
                </c:pt>
                <c:pt idx="3">
                  <c:v>Michoacán</c:v>
                </c:pt>
                <c:pt idx="4">
                  <c:v>Guerrero</c:v>
                </c:pt>
                <c:pt idx="5">
                  <c:v>Puebla</c:v>
                </c:pt>
                <c:pt idx="6">
                  <c:v>Aguascalientes</c:v>
                </c:pt>
                <c:pt idx="7">
                  <c:v>Coahuila</c:v>
                </c:pt>
                <c:pt idx="8">
                  <c:v>B. California Sur</c:v>
                </c:pt>
                <c:pt idx="9">
                  <c:v>Sonora</c:v>
                </c:pt>
                <c:pt idx="10">
                  <c:v>Nuevo León</c:v>
                </c:pt>
                <c:pt idx="11">
                  <c:v>CDMX</c:v>
                </c:pt>
              </c:strCache>
            </c:strRef>
          </c:cat>
          <c:val>
            <c:numRef>
              <c:f>Hoja2!$C$4:$C$15</c:f>
              <c:numCache>
                <c:formatCode>General</c:formatCode>
                <c:ptCount val="12"/>
                <c:pt idx="0">
                  <c:v>7.7</c:v>
                </c:pt>
                <c:pt idx="1">
                  <c:v>7.9</c:v>
                </c:pt>
                <c:pt idx="2">
                  <c:v>8.5</c:v>
                </c:pt>
                <c:pt idx="3">
                  <c:v>8.1999999999999993</c:v>
                </c:pt>
                <c:pt idx="4">
                  <c:v>8.1</c:v>
                </c:pt>
                <c:pt idx="5">
                  <c:v>8.8000000000000007</c:v>
                </c:pt>
                <c:pt idx="6">
                  <c:v>10</c:v>
                </c:pt>
                <c:pt idx="7">
                  <c:v>10.1</c:v>
                </c:pt>
                <c:pt idx="8">
                  <c:v>10.199999999999999</c:v>
                </c:pt>
                <c:pt idx="9">
                  <c:v>10.3</c:v>
                </c:pt>
                <c:pt idx="10">
                  <c:v>10.5</c:v>
                </c:pt>
                <c:pt idx="11">
                  <c:v>11.4</c:v>
                </c:pt>
              </c:numCache>
            </c:numRef>
          </c:val>
          <c:extLst xmlns:c16r2="http://schemas.microsoft.com/office/drawing/2015/06/chart">
            <c:ext xmlns:c16="http://schemas.microsoft.com/office/drawing/2014/chart" uri="{C3380CC4-5D6E-409C-BE32-E72D297353CC}">
              <c16:uniqueId val="{00000000-B942-4035-9A8F-787EEC08E160}"/>
            </c:ext>
          </c:extLst>
        </c:ser>
        <c:dLbls>
          <c:dLblPos val="outEnd"/>
          <c:showLegendKey val="0"/>
          <c:showVal val="1"/>
          <c:showCatName val="0"/>
          <c:showSerName val="0"/>
          <c:showPercent val="0"/>
          <c:showBubbleSize val="0"/>
        </c:dLbls>
        <c:gapWidth val="219"/>
        <c:overlap val="-27"/>
        <c:axId val="159485440"/>
        <c:axId val="233112128"/>
      </c:barChart>
      <c:catAx>
        <c:axId val="1594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112128"/>
        <c:crosses val="autoZero"/>
        <c:auto val="1"/>
        <c:lblAlgn val="ctr"/>
        <c:lblOffset val="100"/>
        <c:noMultiLvlLbl val="0"/>
      </c:catAx>
      <c:valAx>
        <c:axId val="233112128"/>
        <c:scaling>
          <c:orientation val="minMax"/>
        </c:scaling>
        <c:delete val="1"/>
        <c:axPos val="l"/>
        <c:numFmt formatCode="General" sourceLinked="1"/>
        <c:majorTickMark val="none"/>
        <c:minorTickMark val="none"/>
        <c:tickLblPos val="nextTo"/>
        <c:crossAx val="15948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s-C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i="0" u="none" strike="noStrike" baseline="0">
                <a:solidFill>
                  <a:sysClr val="windowText" lastClr="000000"/>
                </a:solidFill>
                <a:effectLst/>
                <a:latin typeface="Arial" panose="020B0604020202020204" pitchFamily="34" charset="0"/>
                <a:cs typeface="Arial" panose="020B0604020202020204" pitchFamily="34" charset="0"/>
              </a:rPr>
              <a:t>Gráfica 3. </a:t>
            </a:r>
            <a:r>
              <a:rPr lang="es-MX" sz="1000" b="0">
                <a:solidFill>
                  <a:sysClr val="windowText" lastClr="000000"/>
                </a:solidFill>
                <a:effectLst/>
                <a:latin typeface="Arial" panose="020B0604020202020204" pitchFamily="34" charset="0"/>
                <a:cs typeface="Arial" panose="020B0604020202020204" pitchFamily="34" charset="0"/>
              </a:rPr>
              <a:t>Pobreza multidimensional en México 1984-2018</a:t>
            </a:r>
          </a:p>
        </c:rich>
      </c:tx>
      <c:overlay val="0"/>
      <c:spPr>
        <a:noFill/>
        <a:ln>
          <a:noFill/>
        </a:ln>
        <a:effectLst/>
      </c:spPr>
    </c:title>
    <c:autoTitleDeleted val="0"/>
    <c:plotArea>
      <c:layout/>
      <c:lineChart>
        <c:grouping val="standard"/>
        <c:varyColors val="0"/>
        <c:ser>
          <c:idx val="0"/>
          <c:order val="0"/>
          <c:tx>
            <c:strRef>
              <c:f>'TIPOS DE  POBREZA'!$C$77</c:f>
              <c:strCache>
                <c:ptCount val="1"/>
                <c:pt idx="0">
                  <c:v>Alimentaria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1525603979421013E-2"/>
                  <c:y val="9.0175112742128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3D-4B6C-B4B7-8FC93B4EDDB7}"/>
                </c:ext>
              </c:extLst>
            </c:dLbl>
            <c:dLbl>
              <c:idx val="1"/>
              <c:layout>
                <c:manualLayout>
                  <c:x val="-5.1525603979420992E-2"/>
                  <c:y val="7.60797453732927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3D-4B6C-B4B7-8FC93B4EDDB7}"/>
                </c:ext>
              </c:extLst>
            </c:dLbl>
            <c:dLbl>
              <c:idx val="2"/>
              <c:layout>
                <c:manualLayout>
                  <c:x val="-4.9411299343416849E-2"/>
                  <c:y val="6.550821984666571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3D-4B6C-B4B7-8FC93B4EDDB7}"/>
                </c:ext>
              </c:extLst>
            </c:dLbl>
            <c:dLbl>
              <c:idx val="3"/>
              <c:layout>
                <c:manualLayout>
                  <c:x val="-5.1525603979420992E-2"/>
                  <c:y val="5.8460536162247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3D-4B6C-B4B7-8FC93B4EDDB7}"/>
                </c:ext>
              </c:extLst>
            </c:dLbl>
            <c:dLbl>
              <c:idx val="4"/>
              <c:layout>
                <c:manualLayout>
                  <c:x val="-4.9411299343416849E-2"/>
                  <c:y val="0.1042704801109648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3D-4B6C-B4B7-8FC93B4EDDB7}"/>
                </c:ext>
              </c:extLst>
            </c:dLbl>
            <c:dLbl>
              <c:idx val="5"/>
              <c:layout>
                <c:manualLayout>
                  <c:x val="-4.0954080799400348E-2"/>
                  <c:y val="0.1007466382687559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3D-4B6C-B4B7-8FC93B4EDDB7}"/>
                </c:ext>
              </c:extLst>
            </c:dLbl>
            <c:dLbl>
              <c:idx val="6"/>
              <c:layout>
                <c:manualLayout>
                  <c:x val="-4.9411299343416849E-2"/>
                  <c:y val="5.8460536162247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B3D-4B6C-B4B7-8FC93B4EDDB7}"/>
                </c:ext>
              </c:extLst>
            </c:dLbl>
            <c:dLbl>
              <c:idx val="7"/>
              <c:layout>
                <c:manualLayout>
                  <c:x val="-3.8884060024276371E-2"/>
                  <c:y val="5.8460536162247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3D-4B6C-B4B7-8FC93B4EDDB7}"/>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'TIPOS DE  POBREZA'!$B$78:$B$85</c:f>
              <c:numCache>
                <c:formatCode>General</c:formatCode>
                <c:ptCount val="8"/>
                <c:pt idx="0">
                  <c:v>1984</c:v>
                </c:pt>
                <c:pt idx="1">
                  <c:v>1989</c:v>
                </c:pt>
                <c:pt idx="2">
                  <c:v>1992</c:v>
                </c:pt>
                <c:pt idx="3">
                  <c:v>1994</c:v>
                </c:pt>
                <c:pt idx="4">
                  <c:v>1996</c:v>
                </c:pt>
                <c:pt idx="5">
                  <c:v>2000</c:v>
                </c:pt>
                <c:pt idx="6">
                  <c:v>2012</c:v>
                </c:pt>
                <c:pt idx="7">
                  <c:v>2018</c:v>
                </c:pt>
              </c:numCache>
            </c:numRef>
          </c:cat>
          <c:val>
            <c:numRef>
              <c:f>'TIPOS DE  POBREZA'!$C$78:$C$85</c:f>
              <c:numCache>
                <c:formatCode>0.00%</c:formatCode>
                <c:ptCount val="8"/>
                <c:pt idx="0">
                  <c:v>0.22500000000000001</c:v>
                </c:pt>
                <c:pt idx="1">
                  <c:v>0.22700000000000001</c:v>
                </c:pt>
                <c:pt idx="2">
                  <c:v>0.22500000000000001</c:v>
                </c:pt>
                <c:pt idx="3">
                  <c:v>0.21099999999999999</c:v>
                </c:pt>
                <c:pt idx="4">
                  <c:v>0.374</c:v>
                </c:pt>
                <c:pt idx="5">
                  <c:v>0.24199999999999999</c:v>
                </c:pt>
                <c:pt idx="6">
                  <c:v>0.19700000000000001</c:v>
                </c:pt>
                <c:pt idx="7">
                  <c:v>0.255</c:v>
                </c:pt>
              </c:numCache>
            </c:numRef>
          </c:val>
          <c:smooth val="0"/>
          <c:extLst xmlns:c16r2="http://schemas.microsoft.com/office/drawing/2015/06/chart">
            <c:ext xmlns:c16="http://schemas.microsoft.com/office/drawing/2014/chart" uri="{C3380CC4-5D6E-409C-BE32-E72D297353CC}">
              <c16:uniqueId val="{00000008-5B3D-4B6C-B4B7-8FC93B4EDDB7}"/>
            </c:ext>
          </c:extLst>
        </c:ser>
        <c:ser>
          <c:idx val="1"/>
          <c:order val="1"/>
          <c:tx>
            <c:strRef>
              <c:f>'TIPOS DE  POBREZA'!$D$77</c:f>
              <c:strCache>
                <c:ptCount val="1"/>
                <c:pt idx="0">
                  <c:v>Capacidades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1525603979421013E-2"/>
                  <c:y val="-7.544545384169515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B3D-4B6C-B4B7-8FC93B4EDDB7}"/>
                </c:ext>
              </c:extLst>
            </c:dLbl>
            <c:dLbl>
              <c:idx val="1"/>
              <c:layout>
                <c:manualLayout>
                  <c:x val="-5.1525603979420992E-2"/>
                  <c:y val="-6.83977701572771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B3D-4B6C-B4B7-8FC93B4EDDB7}"/>
                </c:ext>
              </c:extLst>
            </c:dLbl>
            <c:dLbl>
              <c:idx val="2"/>
              <c:layout>
                <c:manualLayout>
                  <c:x val="-3.5200292847694277E-2"/>
                  <c:y val="-5.42738866699215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B3D-4B6C-B4B7-8FC93B4EDDB7}"/>
                </c:ext>
              </c:extLst>
            </c:dLbl>
            <c:dLbl>
              <c:idx val="3"/>
              <c:layout>
                <c:manualLayout>
                  <c:x val="-5.9978202813667336E-2"/>
                  <c:y val="-6.48452249433039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B3D-4B6C-B4B7-8FC93B4EDDB7}"/>
                </c:ext>
              </c:extLst>
            </c:dLbl>
            <c:dLbl>
              <c:idx val="4"/>
              <c:layout>
                <c:manualLayout>
                  <c:x val="-4.9412391118062546E-2"/>
                  <c:y val="-4.3711713092796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B3D-4B6C-B4B7-8FC93B4EDDB7}"/>
                </c:ext>
              </c:extLst>
            </c:dLbl>
            <c:dLbl>
              <c:idx val="5"/>
              <c:layout>
                <c:manualLayout>
                  <c:x val="-3.8846579422457755E-2"/>
                  <c:y val="-5.428332908424688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B3D-4B6C-B4B7-8FC93B4EDDB7}"/>
                </c:ext>
              </c:extLst>
            </c:dLbl>
            <c:dLbl>
              <c:idx val="6"/>
              <c:layout>
                <c:manualLayout>
                  <c:x val="-3.3082637958718616E-2"/>
                  <c:y val="-4.721346021716442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B3D-4B6C-B4B7-8FC93B4EDDB7}"/>
                </c:ext>
              </c:extLst>
            </c:dLbl>
            <c:dLbl>
              <c:idx val="7"/>
              <c:layout>
                <c:manualLayout>
                  <c:x val="-3.4656527924525164E-2"/>
                  <c:y val="-3.6645176842534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B3D-4B6C-B4B7-8FC93B4EDDB7}"/>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'TIPOS DE  POBREZA'!$B$78:$B$85</c:f>
              <c:numCache>
                <c:formatCode>General</c:formatCode>
                <c:ptCount val="8"/>
                <c:pt idx="0">
                  <c:v>1984</c:v>
                </c:pt>
                <c:pt idx="1">
                  <c:v>1989</c:v>
                </c:pt>
                <c:pt idx="2">
                  <c:v>1992</c:v>
                </c:pt>
                <c:pt idx="3">
                  <c:v>1994</c:v>
                </c:pt>
                <c:pt idx="4">
                  <c:v>1996</c:v>
                </c:pt>
                <c:pt idx="5">
                  <c:v>2000</c:v>
                </c:pt>
                <c:pt idx="6">
                  <c:v>2012</c:v>
                </c:pt>
                <c:pt idx="7">
                  <c:v>2018</c:v>
                </c:pt>
              </c:numCache>
            </c:numRef>
          </c:cat>
          <c:val>
            <c:numRef>
              <c:f>'TIPOS DE  POBREZA'!$D$78:$D$85</c:f>
              <c:numCache>
                <c:formatCode>0.00%</c:formatCode>
                <c:ptCount val="8"/>
                <c:pt idx="0">
                  <c:v>0.30199999999999999</c:v>
                </c:pt>
                <c:pt idx="1">
                  <c:v>0.29299999999999998</c:v>
                </c:pt>
                <c:pt idx="2" formatCode="0%">
                  <c:v>0.28000000000000003</c:v>
                </c:pt>
                <c:pt idx="3">
                  <c:v>0.29399999999999998</c:v>
                </c:pt>
                <c:pt idx="4">
                  <c:v>0.46899999999999997</c:v>
                </c:pt>
                <c:pt idx="5">
                  <c:v>0.31900000000000001</c:v>
                </c:pt>
                <c:pt idx="6" formatCode="0%">
                  <c:v>0.28000000000000003</c:v>
                </c:pt>
                <c:pt idx="7">
                  <c:v>0.29299999999999998</c:v>
                </c:pt>
              </c:numCache>
            </c:numRef>
          </c:val>
          <c:smooth val="0"/>
          <c:extLst xmlns:c16r2="http://schemas.microsoft.com/office/drawing/2015/06/chart">
            <c:ext xmlns:c16="http://schemas.microsoft.com/office/drawing/2014/chart" uri="{C3380CC4-5D6E-409C-BE32-E72D297353CC}">
              <c16:uniqueId val="{00000011-5B3D-4B6C-B4B7-8FC93B4EDDB7}"/>
            </c:ext>
          </c:extLst>
        </c:ser>
        <c:ser>
          <c:idx val="2"/>
          <c:order val="2"/>
          <c:tx>
            <c:strRef>
              <c:f>'TIPOS DE  POBREZA'!$E$77</c:f>
              <c:strCache>
                <c:ptCount val="1"/>
                <c:pt idx="0">
                  <c:v>Patrimonial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3"/>
              <c:layout>
                <c:manualLayout>
                  <c:x val="-5.36109285434987E-2"/>
                  <c:y val="-6.845944788537131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B3D-4B6C-B4B7-8FC93B4EDDB7}"/>
                </c:ext>
              </c:extLst>
            </c:dLbl>
            <c:dLbl>
              <c:idx val="5"/>
              <c:layout>
                <c:manualLayout>
                  <c:x val="-4.3045116847893909E-2"/>
                  <c:y val="-7.198646735396331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B3D-4B6C-B4B7-8FC93B4EDDB7}"/>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'TIPOS DE  POBREZA'!$B$78:$B$85</c:f>
              <c:numCache>
                <c:formatCode>General</c:formatCode>
                <c:ptCount val="8"/>
                <c:pt idx="0">
                  <c:v>1984</c:v>
                </c:pt>
                <c:pt idx="1">
                  <c:v>1989</c:v>
                </c:pt>
                <c:pt idx="2">
                  <c:v>1992</c:v>
                </c:pt>
                <c:pt idx="3">
                  <c:v>1994</c:v>
                </c:pt>
                <c:pt idx="4">
                  <c:v>1996</c:v>
                </c:pt>
                <c:pt idx="5">
                  <c:v>2000</c:v>
                </c:pt>
                <c:pt idx="6">
                  <c:v>2012</c:v>
                </c:pt>
                <c:pt idx="7">
                  <c:v>2018</c:v>
                </c:pt>
              </c:numCache>
            </c:numRef>
          </c:cat>
          <c:val>
            <c:numRef>
              <c:f>'TIPOS DE  POBREZA'!$E$78:$E$85</c:f>
              <c:numCache>
                <c:formatCode>0.00%</c:formatCode>
                <c:ptCount val="8"/>
                <c:pt idx="0" formatCode="0%">
                  <c:v>0.53</c:v>
                </c:pt>
                <c:pt idx="1">
                  <c:v>0.53500000000000003</c:v>
                </c:pt>
                <c:pt idx="2">
                  <c:v>0.52600000000000002</c:v>
                </c:pt>
                <c:pt idx="3">
                  <c:v>0.55600000000000005</c:v>
                </c:pt>
                <c:pt idx="4" formatCode="0%">
                  <c:v>0.69</c:v>
                </c:pt>
                <c:pt idx="5">
                  <c:v>0.53700000000000003</c:v>
                </c:pt>
                <c:pt idx="6">
                  <c:v>0.52300000000000002</c:v>
                </c:pt>
                <c:pt idx="7">
                  <c:v>0.52400000000000002</c:v>
                </c:pt>
              </c:numCache>
            </c:numRef>
          </c:val>
          <c:smooth val="0"/>
          <c:extLst xmlns:c16r2="http://schemas.microsoft.com/office/drawing/2015/06/chart">
            <c:ext xmlns:c16="http://schemas.microsoft.com/office/drawing/2014/chart" uri="{C3380CC4-5D6E-409C-BE32-E72D297353CC}">
              <c16:uniqueId val="{00000014-5B3D-4B6C-B4B7-8FC93B4EDDB7}"/>
            </c:ext>
          </c:extLst>
        </c:ser>
        <c:dLbls>
          <c:dLblPos val="t"/>
          <c:showLegendKey val="0"/>
          <c:showVal val="1"/>
          <c:showCatName val="0"/>
          <c:showSerName val="0"/>
          <c:showPercent val="0"/>
          <c:showBubbleSize val="0"/>
        </c:dLbls>
        <c:marker val="1"/>
        <c:smooth val="0"/>
        <c:axId val="226911744"/>
        <c:axId val="233113856"/>
      </c:lineChart>
      <c:catAx>
        <c:axId val="22691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113856"/>
        <c:crosses val="autoZero"/>
        <c:auto val="1"/>
        <c:lblAlgn val="ctr"/>
        <c:lblOffset val="100"/>
        <c:noMultiLvlLbl val="0"/>
      </c:catAx>
      <c:valAx>
        <c:axId val="23311385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2691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i="0">
          <a:latin typeface="Times New Roman" panose="02020603050405020304" pitchFamily="18" charset="0"/>
          <a:cs typeface="Times New Roman" panose="02020603050405020304" pitchFamily="18" charset="0"/>
        </a:defRPr>
      </a:pPr>
      <a:endParaRPr lang="es-C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effectLst/>
                <a:latin typeface="Arial" panose="020B0604020202020204" pitchFamily="34" charset="0"/>
                <a:cs typeface="Arial" panose="020B0604020202020204" pitchFamily="34" charset="0"/>
              </a:rPr>
              <a:t>Gráfica</a:t>
            </a:r>
            <a:r>
              <a:rPr lang="es-MX" sz="1000" b="1" baseline="0">
                <a:solidFill>
                  <a:sysClr val="windowText" lastClr="000000"/>
                </a:solidFill>
                <a:effectLst/>
                <a:latin typeface="Arial" panose="020B0604020202020204" pitchFamily="34" charset="0"/>
                <a:cs typeface="Arial" panose="020B0604020202020204" pitchFamily="34" charset="0"/>
              </a:rPr>
              <a:t> </a:t>
            </a:r>
            <a:r>
              <a:rPr lang="es-MX" sz="1000" b="1">
                <a:solidFill>
                  <a:sysClr val="windowText" lastClr="000000"/>
                </a:solidFill>
                <a:latin typeface="Arial" panose="020B0604020202020204" pitchFamily="34" charset="0"/>
                <a:cs typeface="Arial" panose="020B0604020202020204" pitchFamily="34" charset="0"/>
              </a:rPr>
              <a:t>4. </a:t>
            </a:r>
            <a:r>
              <a:rPr lang="es-MX" sz="1000" b="0">
                <a:solidFill>
                  <a:sysClr val="windowText" lastClr="000000"/>
                </a:solidFill>
                <a:latin typeface="Arial" panose="020B0604020202020204" pitchFamily="34" charset="0"/>
                <a:cs typeface="Arial" panose="020B0604020202020204" pitchFamily="34" charset="0"/>
              </a:rPr>
              <a:t>Proporción del ingreso del hogar destinado a alimentación  por decil  en México (1984 -2018)</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6.986764952253309E-2"/>
          <c:y val="0.2175170068027211"/>
          <c:w val="0.89739912625488094"/>
          <c:h val="0.74506802721088439"/>
        </c:manualLayout>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'ALIMNETACION 1'!$C$23:$L$23</c:f>
              <c:strCache>
                <c:ptCount val="10"/>
                <c:pt idx="0">
                  <c:v>I</c:v>
                </c:pt>
                <c:pt idx="1">
                  <c:v>II</c:v>
                </c:pt>
                <c:pt idx="2">
                  <c:v>III</c:v>
                </c:pt>
                <c:pt idx="3">
                  <c:v>IV</c:v>
                </c:pt>
                <c:pt idx="4">
                  <c:v>V</c:v>
                </c:pt>
                <c:pt idx="5">
                  <c:v>VI</c:v>
                </c:pt>
                <c:pt idx="6">
                  <c:v>VII</c:v>
                </c:pt>
                <c:pt idx="7">
                  <c:v>VIII</c:v>
                </c:pt>
                <c:pt idx="8">
                  <c:v>IX</c:v>
                </c:pt>
                <c:pt idx="9">
                  <c:v>X</c:v>
                </c:pt>
              </c:strCache>
            </c:strRef>
          </c:cat>
          <c:val>
            <c:numRef>
              <c:f>'ALIMNETACION 1'!$C$24:$L$24</c:f>
              <c:numCache>
                <c:formatCode>0.00%</c:formatCode>
                <c:ptCount val="10"/>
                <c:pt idx="0">
                  <c:v>0.42480000000000001</c:v>
                </c:pt>
                <c:pt idx="1">
                  <c:v>0.4098</c:v>
                </c:pt>
                <c:pt idx="2">
                  <c:v>0.39600000000000002</c:v>
                </c:pt>
                <c:pt idx="3">
                  <c:v>0.38890000000000002</c:v>
                </c:pt>
                <c:pt idx="4">
                  <c:v>0.35580000000000001</c:v>
                </c:pt>
                <c:pt idx="5">
                  <c:v>0.33700000000000002</c:v>
                </c:pt>
                <c:pt idx="6">
                  <c:v>0.31719999999999998</c:v>
                </c:pt>
                <c:pt idx="7">
                  <c:v>0.29370000000000002</c:v>
                </c:pt>
                <c:pt idx="8">
                  <c:v>0.25869999999999999</c:v>
                </c:pt>
                <c:pt idx="9">
                  <c:v>0.18479999999999999</c:v>
                </c:pt>
              </c:numCache>
            </c:numRef>
          </c:val>
          <c:extLst xmlns:c16r2="http://schemas.microsoft.com/office/drawing/2015/06/chart">
            <c:ext xmlns:c16="http://schemas.microsoft.com/office/drawing/2014/chart" uri="{C3380CC4-5D6E-409C-BE32-E72D297353CC}">
              <c16:uniqueId val="{00000000-EC1D-4F45-ACBB-60828EDA0C69}"/>
            </c:ext>
          </c:extLst>
        </c:ser>
        <c:dLbls>
          <c:dLblPos val="outEnd"/>
          <c:showLegendKey val="0"/>
          <c:showVal val="1"/>
          <c:showCatName val="0"/>
          <c:showSerName val="0"/>
          <c:showPercent val="0"/>
          <c:showBubbleSize val="0"/>
        </c:dLbls>
        <c:gapWidth val="182"/>
        <c:axId val="159482880"/>
        <c:axId val="233116160"/>
      </c:barChart>
      <c:catAx>
        <c:axId val="159482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116160"/>
        <c:crosses val="autoZero"/>
        <c:auto val="1"/>
        <c:lblAlgn val="ctr"/>
        <c:lblOffset val="100"/>
        <c:noMultiLvlLbl val="0"/>
      </c:catAx>
      <c:valAx>
        <c:axId val="233116160"/>
        <c:scaling>
          <c:orientation val="minMax"/>
        </c:scaling>
        <c:delete val="1"/>
        <c:axPos val="b"/>
        <c:numFmt formatCode="0.00%" sourceLinked="1"/>
        <c:majorTickMark val="none"/>
        <c:minorTickMark val="none"/>
        <c:tickLblPos val="nextTo"/>
        <c:crossAx val="15948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C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latin typeface="Arial" panose="020B0604020202020204" pitchFamily="34" charset="0"/>
                <a:cs typeface="Arial" panose="020B0604020202020204" pitchFamily="34" charset="0"/>
              </a:rPr>
              <a:t>Gráfica 5</a:t>
            </a:r>
            <a:r>
              <a:rPr lang="es-MX" sz="1000" b="0">
                <a:solidFill>
                  <a:sysClr val="windowText" lastClr="000000"/>
                </a:solidFill>
                <a:latin typeface="Arial" panose="020B0604020202020204" pitchFamily="34" charset="0"/>
                <a:cs typeface="Arial" panose="020B0604020202020204" pitchFamily="34" charset="0"/>
              </a:rPr>
              <a:t>. Pobreza por entidad federativa en Mexico  2018</a:t>
            </a:r>
          </a:p>
        </c:rich>
      </c:tx>
      <c:layout>
        <c:manualLayout>
          <c:xMode val="edge"/>
          <c:yMode val="edge"/>
          <c:x val="0.23831895329089336"/>
          <c:y val="2.064197228264755E-3"/>
        </c:manualLayout>
      </c:layout>
      <c:overlay val="0"/>
      <c:spPr>
        <a:noFill/>
        <a:ln>
          <a:noFill/>
        </a:ln>
        <a:effectLst/>
      </c:spPr>
    </c:title>
    <c:autoTitleDeleted val="0"/>
    <c:plotArea>
      <c:layout>
        <c:manualLayout>
          <c:layoutTarget val="inner"/>
          <c:xMode val="edge"/>
          <c:yMode val="edge"/>
          <c:x val="5.7368031966095086E-2"/>
          <c:y val="0.20425079459790596"/>
          <c:w val="0.9175529880967298"/>
          <c:h val="0.3751294395247311"/>
        </c:manualLayout>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Hoja3!$B$6:$B$17</c:f>
              <c:strCache>
                <c:ptCount val="12"/>
                <c:pt idx="0">
                  <c:v>Chiapas</c:v>
                </c:pt>
                <c:pt idx="1">
                  <c:v>Guerrero</c:v>
                </c:pt>
                <c:pt idx="2">
                  <c:v>Oaxaca</c:v>
                </c:pt>
                <c:pt idx="3">
                  <c:v>Veracruz</c:v>
                </c:pt>
                <c:pt idx="4">
                  <c:v>Tabasco</c:v>
                </c:pt>
                <c:pt idx="5">
                  <c:v>Puebla</c:v>
                </c:pt>
                <c:pt idx="6">
                  <c:v>Sonora</c:v>
                </c:pt>
                <c:pt idx="7">
                  <c:v>Aguascalientes</c:v>
                </c:pt>
                <c:pt idx="8">
                  <c:v>CDMX</c:v>
                </c:pt>
                <c:pt idx="9">
                  <c:v>B. California Sur</c:v>
                </c:pt>
                <c:pt idx="10">
                  <c:v>Coahuila</c:v>
                </c:pt>
                <c:pt idx="11">
                  <c:v>Nuevo León</c:v>
                </c:pt>
              </c:strCache>
            </c:strRef>
          </c:cat>
          <c:val>
            <c:numRef>
              <c:f>Hoja3!$C$6:$C$17</c:f>
              <c:numCache>
                <c:formatCode>0%</c:formatCode>
                <c:ptCount val="12"/>
                <c:pt idx="0">
                  <c:v>0.94</c:v>
                </c:pt>
                <c:pt idx="1">
                  <c:v>0.92</c:v>
                </c:pt>
                <c:pt idx="2">
                  <c:v>0.91</c:v>
                </c:pt>
                <c:pt idx="3">
                  <c:v>0.89</c:v>
                </c:pt>
                <c:pt idx="4">
                  <c:v>0.89</c:v>
                </c:pt>
                <c:pt idx="5">
                  <c:v>0.88</c:v>
                </c:pt>
                <c:pt idx="6">
                  <c:v>0.67</c:v>
                </c:pt>
                <c:pt idx="7">
                  <c:v>0.66</c:v>
                </c:pt>
                <c:pt idx="8">
                  <c:v>0.66</c:v>
                </c:pt>
                <c:pt idx="9">
                  <c:v>0.66</c:v>
                </c:pt>
                <c:pt idx="10">
                  <c:v>0.61</c:v>
                </c:pt>
                <c:pt idx="11">
                  <c:v>0.55000000000000004</c:v>
                </c:pt>
              </c:numCache>
            </c:numRef>
          </c:val>
          <c:extLst xmlns:c16r2="http://schemas.microsoft.com/office/drawing/2015/06/chart">
            <c:ext xmlns:c16="http://schemas.microsoft.com/office/drawing/2014/chart" uri="{C3380CC4-5D6E-409C-BE32-E72D297353CC}">
              <c16:uniqueId val="{00000000-810D-446C-9D8B-9FAB6E5CF2B6}"/>
            </c:ext>
          </c:extLst>
        </c:ser>
        <c:dLbls>
          <c:dLblPos val="outEnd"/>
          <c:showLegendKey val="0"/>
          <c:showVal val="1"/>
          <c:showCatName val="0"/>
          <c:showSerName val="0"/>
          <c:showPercent val="0"/>
          <c:showBubbleSize val="0"/>
        </c:dLbls>
        <c:gapWidth val="219"/>
        <c:overlap val="-27"/>
        <c:axId val="226911232"/>
        <c:axId val="233117312"/>
      </c:barChart>
      <c:catAx>
        <c:axId val="22691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117312"/>
        <c:crosses val="autoZero"/>
        <c:auto val="1"/>
        <c:lblAlgn val="ctr"/>
        <c:lblOffset val="100"/>
        <c:noMultiLvlLbl val="0"/>
      </c:catAx>
      <c:valAx>
        <c:axId val="233117312"/>
        <c:scaling>
          <c:orientation val="minMax"/>
        </c:scaling>
        <c:delete val="1"/>
        <c:axPos val="l"/>
        <c:numFmt formatCode="0%" sourceLinked="1"/>
        <c:majorTickMark val="none"/>
        <c:minorTickMark val="none"/>
        <c:tickLblPos val="nextTo"/>
        <c:crossAx val="22691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C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20" b="1" i="0" u="none" strike="noStrike" kern="1200" spc="0" baseline="0">
                <a:solidFill>
                  <a:sysClr val="windowText" lastClr="000000"/>
                </a:solidFill>
                <a:latin typeface="+mn-lt"/>
                <a:ea typeface="+mn-ea"/>
                <a:cs typeface="+mn-cs"/>
              </a:defRPr>
            </a:pPr>
            <a:r>
              <a:rPr lang="es-MX" sz="1200" b="1">
                <a:solidFill>
                  <a:sysClr val="windowText" lastClr="000000"/>
                </a:solidFill>
                <a:effectLst/>
              </a:rPr>
              <a:t>Gráfica 6.</a:t>
            </a:r>
            <a:r>
              <a:rPr lang="es-MX" sz="1200" b="1" baseline="0">
                <a:solidFill>
                  <a:sysClr val="windowText" lastClr="000000"/>
                </a:solidFill>
                <a:effectLst/>
              </a:rPr>
              <a:t> </a:t>
            </a:r>
            <a:r>
              <a:rPr lang="es-MX" sz="1200" b="0">
                <a:solidFill>
                  <a:sysClr val="windowText" lastClr="000000"/>
                </a:solidFill>
              </a:rPr>
              <a:t>Salario mínimo en México</a:t>
            </a:r>
            <a:r>
              <a:rPr lang="en-US" sz="1200" b="0">
                <a:solidFill>
                  <a:sysClr val="windowText" lastClr="000000"/>
                </a:solidFill>
              </a:rPr>
              <a:t> 1980-2018</a:t>
            </a:r>
          </a:p>
        </c:rich>
      </c:tx>
      <c:layout>
        <c:manualLayout>
          <c:xMode val="edge"/>
          <c:yMode val="edge"/>
          <c:x val="0.23131540140067153"/>
          <c:y val="4.9658792650918632E-2"/>
        </c:manualLayout>
      </c:layout>
      <c:overlay val="0"/>
      <c:spPr>
        <a:noFill/>
        <a:ln>
          <a:noFill/>
        </a:ln>
        <a:effectLst/>
      </c:spPr>
    </c:title>
    <c:autoTitleDeleted val="0"/>
    <c:plotArea>
      <c:layout>
        <c:manualLayout>
          <c:layoutTarget val="inner"/>
          <c:xMode val="edge"/>
          <c:yMode val="edge"/>
          <c:x val="3.1918748620547999E-2"/>
          <c:y val="0.34506069553805774"/>
          <c:w val="0.936162502758904"/>
          <c:h val="0.48637521872265971"/>
        </c:manualLayout>
      </c:layout>
      <c:lineChart>
        <c:grouping val="standard"/>
        <c:varyColors val="0"/>
        <c:ser>
          <c:idx val="0"/>
          <c:order val="0"/>
          <c:tx>
            <c:strRef>
              <c:f>Hoja1!$H$3</c:f>
              <c:strCache>
                <c:ptCount val="1"/>
                <c:pt idx="0">
                  <c:v>salario</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1"/>
              <c:layout>
                <c:manualLayout>
                  <c:x val="-5.0716995168547926E-2"/>
                  <c:y val="-0.14461995452959195"/>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35-4BD1-84F1-530F7B6531B5}"/>
                </c:ext>
              </c:extLst>
            </c:dLbl>
            <c:dLbl>
              <c:idx val="2"/>
              <c:layout>
                <c:manualLayout>
                  <c:x val="-8.9067931413760654E-2"/>
                  <c:y val="-0.1030311540439134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35-4BD1-84F1-530F7B6531B5}"/>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Hoja1!$G$4:$G$10</c:f>
              <c:numCache>
                <c:formatCode>General</c:formatCode>
                <c:ptCount val="7"/>
                <c:pt idx="0">
                  <c:v>1980</c:v>
                </c:pt>
                <c:pt idx="1">
                  <c:v>1989</c:v>
                </c:pt>
                <c:pt idx="2">
                  <c:v>1994</c:v>
                </c:pt>
                <c:pt idx="3">
                  <c:v>2000</c:v>
                </c:pt>
                <c:pt idx="4">
                  <c:v>2006</c:v>
                </c:pt>
                <c:pt idx="5">
                  <c:v>2012</c:v>
                </c:pt>
                <c:pt idx="6">
                  <c:v>2018</c:v>
                </c:pt>
              </c:numCache>
            </c:numRef>
          </c:cat>
          <c:val>
            <c:numRef>
              <c:f>Hoja1!$H$4:$H$10</c:f>
              <c:numCache>
                <c:formatCode>"$"#,##0.00_);[Red]\("$"#,##0.00\)</c:formatCode>
                <c:ptCount val="7"/>
                <c:pt idx="0">
                  <c:v>271.64</c:v>
                </c:pt>
                <c:pt idx="1">
                  <c:v>136.75</c:v>
                </c:pt>
                <c:pt idx="2">
                  <c:v>109.16</c:v>
                </c:pt>
                <c:pt idx="3">
                  <c:v>83.11</c:v>
                </c:pt>
                <c:pt idx="4">
                  <c:v>82.24</c:v>
                </c:pt>
                <c:pt idx="5">
                  <c:v>81.95</c:v>
                </c:pt>
                <c:pt idx="6">
                  <c:v>90.86</c:v>
                </c:pt>
              </c:numCache>
            </c:numRef>
          </c:val>
          <c:smooth val="0"/>
          <c:extLst xmlns:c16r2="http://schemas.microsoft.com/office/drawing/2015/06/chart">
            <c:ext xmlns:c16="http://schemas.microsoft.com/office/drawing/2014/chart" uri="{C3380CC4-5D6E-409C-BE32-E72D297353CC}">
              <c16:uniqueId val="{00000002-7735-4BD1-84F1-530F7B6531B5}"/>
            </c:ext>
          </c:extLst>
        </c:ser>
        <c:dLbls>
          <c:dLblPos val="t"/>
          <c:showLegendKey val="0"/>
          <c:showVal val="1"/>
          <c:showCatName val="0"/>
          <c:showSerName val="0"/>
          <c:showPercent val="0"/>
          <c:showBubbleSize val="0"/>
        </c:dLbls>
        <c:marker val="1"/>
        <c:smooth val="0"/>
        <c:axId val="226913792"/>
        <c:axId val="233119040"/>
      </c:lineChart>
      <c:catAx>
        <c:axId val="2269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119040"/>
        <c:crosses val="autoZero"/>
        <c:auto val="1"/>
        <c:lblAlgn val="ctr"/>
        <c:lblOffset val="100"/>
        <c:noMultiLvlLbl val="0"/>
      </c:catAx>
      <c:valAx>
        <c:axId val="233119040"/>
        <c:scaling>
          <c:orientation val="minMax"/>
        </c:scaling>
        <c:delete val="1"/>
        <c:axPos val="l"/>
        <c:numFmt formatCode="&quot;$&quot;#,##0.00_);[Red]\(&quot;$&quot;#,##0.00\)" sourceLinked="1"/>
        <c:majorTickMark val="none"/>
        <c:minorTickMark val="none"/>
        <c:tickLblPos val="nextTo"/>
        <c:crossAx val="22691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C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Gráfica</a:t>
            </a:r>
            <a:r>
              <a:rPr lang="en-US" sz="1000" b="1" baseline="0">
                <a:solidFill>
                  <a:sysClr val="windowText" lastClr="000000"/>
                </a:solidFill>
                <a:latin typeface="Arial" panose="020B0604020202020204" pitchFamily="34" charset="0"/>
                <a:cs typeface="Arial" panose="020B0604020202020204" pitchFamily="34" charset="0"/>
              </a:rPr>
              <a:t> 7. </a:t>
            </a:r>
            <a:r>
              <a:rPr lang="en-US" sz="1000" b="0">
                <a:solidFill>
                  <a:sysClr val="windowText" lastClr="000000"/>
                </a:solidFill>
                <a:latin typeface="Arial" panose="020B0604020202020204" pitchFamily="34" charset="0"/>
                <a:cs typeface="Arial" panose="020B0604020202020204" pitchFamily="34" charset="0"/>
              </a:rPr>
              <a:t>Población no afiliada</a:t>
            </a:r>
            <a:r>
              <a:rPr lang="en-US" sz="1000" b="0" baseline="0">
                <a:solidFill>
                  <a:sysClr val="windowText" lastClr="000000"/>
                </a:solidFill>
                <a:latin typeface="Arial" panose="020B0604020202020204" pitchFamily="34" charset="0"/>
                <a:cs typeface="Arial" panose="020B0604020202020204" pitchFamily="34" charset="0"/>
              </a:rPr>
              <a:t> a servicios de salud en México</a:t>
            </a:r>
            <a:endParaRPr lang="en-US" sz="10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2.6589315929417452E-2"/>
          <c:y val="0.26732673267326734"/>
          <c:w val="0.94682136814116513"/>
          <c:h val="0.57616018294742866"/>
        </c:manualLayout>
      </c:layout>
      <c:lineChart>
        <c:grouping val="standard"/>
        <c:varyColors val="0"/>
        <c:ser>
          <c:idx val="0"/>
          <c:order val="0"/>
          <c:tx>
            <c:strRef>
              <c:f>Hoja2!$B$42</c:f>
              <c:strCache>
                <c:ptCount val="1"/>
                <c:pt idx="0">
                  <c:v>Población no afiliada</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Hoja2!$C$41:$I$41</c:f>
              <c:strCache>
                <c:ptCount val="7"/>
                <c:pt idx="0">
                  <c:v>1983</c:v>
                </c:pt>
                <c:pt idx="1">
                  <c:v>1989*</c:v>
                </c:pt>
                <c:pt idx="2">
                  <c:v>1995*</c:v>
                </c:pt>
                <c:pt idx="3">
                  <c:v>2000</c:v>
                </c:pt>
                <c:pt idx="4">
                  <c:v>2006</c:v>
                </c:pt>
                <c:pt idx="5">
                  <c:v>2012</c:v>
                </c:pt>
                <c:pt idx="6">
                  <c:v>2018-19</c:v>
                </c:pt>
              </c:strCache>
            </c:strRef>
          </c:cat>
          <c:val>
            <c:numRef>
              <c:f>Hoja2!$C$42:$I$42</c:f>
              <c:numCache>
                <c:formatCode>0.0%</c:formatCode>
                <c:ptCount val="7"/>
                <c:pt idx="0">
                  <c:v>0.52</c:v>
                </c:pt>
                <c:pt idx="1">
                  <c:v>0.45400000000000001</c:v>
                </c:pt>
                <c:pt idx="2">
                  <c:v>0.44</c:v>
                </c:pt>
                <c:pt idx="3">
                  <c:v>0.58899999999999997</c:v>
                </c:pt>
                <c:pt idx="4">
                  <c:v>0.48499999999999999</c:v>
                </c:pt>
                <c:pt idx="5">
                  <c:v>0.21390000000000001</c:v>
                </c:pt>
                <c:pt idx="6">
                  <c:v>0.187</c:v>
                </c:pt>
              </c:numCache>
            </c:numRef>
          </c:val>
          <c:smooth val="0"/>
          <c:extLst xmlns:c16r2="http://schemas.microsoft.com/office/drawing/2015/06/chart">
            <c:ext xmlns:c16="http://schemas.microsoft.com/office/drawing/2014/chart" uri="{C3380CC4-5D6E-409C-BE32-E72D297353CC}">
              <c16:uniqueId val="{00000000-6FAD-474E-A8B9-E6EE5A61A83B}"/>
            </c:ext>
          </c:extLst>
        </c:ser>
        <c:dLbls>
          <c:dLblPos val="t"/>
          <c:showLegendKey val="0"/>
          <c:showVal val="1"/>
          <c:showCatName val="0"/>
          <c:showSerName val="0"/>
          <c:showPercent val="0"/>
          <c:showBubbleSize val="0"/>
        </c:dLbls>
        <c:marker val="1"/>
        <c:smooth val="0"/>
        <c:axId val="159483392"/>
        <c:axId val="233514112"/>
      </c:lineChart>
      <c:catAx>
        <c:axId val="15948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514112"/>
        <c:crosses val="autoZero"/>
        <c:auto val="1"/>
        <c:lblAlgn val="ctr"/>
        <c:lblOffset val="100"/>
        <c:noMultiLvlLbl val="0"/>
      </c:catAx>
      <c:valAx>
        <c:axId val="233514112"/>
        <c:scaling>
          <c:orientation val="minMax"/>
        </c:scaling>
        <c:delete val="1"/>
        <c:axPos val="l"/>
        <c:numFmt formatCode="0.0%" sourceLinked="1"/>
        <c:majorTickMark val="none"/>
        <c:minorTickMark val="none"/>
        <c:tickLblPos val="nextTo"/>
        <c:crossAx val="159483392"/>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000" b="1">
                <a:solidFill>
                  <a:sysClr val="windowText" lastClr="000000"/>
                </a:solidFill>
                <a:latin typeface="Arial" panose="020B0604020202020204" pitchFamily="34" charset="0"/>
                <a:cs typeface="Arial" panose="020B0604020202020204" pitchFamily="34" charset="0"/>
              </a:rPr>
              <a:t>Grafica 8. </a:t>
            </a:r>
            <a:r>
              <a:rPr lang="es-MX" sz="1000" b="0">
                <a:solidFill>
                  <a:sysClr val="windowText" lastClr="000000"/>
                </a:solidFill>
                <a:latin typeface="Arial" panose="020B0604020202020204" pitchFamily="34" charset="0"/>
                <a:cs typeface="Arial" panose="020B0604020202020204" pitchFamily="34" charset="0"/>
              </a:rPr>
              <a:t>Población no afiliada por entidad federativa en México 2018</a:t>
            </a:r>
          </a:p>
        </c:rich>
      </c:tx>
      <c:layout>
        <c:manualLayout>
          <c:xMode val="edge"/>
          <c:yMode val="edge"/>
          <c:x val="0.14970585265197314"/>
          <c:y val="6.1827423825371403E-2"/>
        </c:manualLayout>
      </c:layout>
      <c:overlay val="0"/>
      <c:spPr>
        <a:noFill/>
        <a:ln>
          <a:noFill/>
        </a:ln>
        <a:effectLst/>
      </c:spPr>
    </c:title>
    <c:autoTitleDeleted val="0"/>
    <c:plotArea>
      <c:layout>
        <c:manualLayout>
          <c:layoutTarget val="inner"/>
          <c:xMode val="edge"/>
          <c:yMode val="edge"/>
          <c:x val="7.7204403727719709E-2"/>
          <c:y val="0.22211947092120993"/>
          <c:w val="0.90026737148671765"/>
          <c:h val="0.36466947338343031"/>
        </c:manualLayout>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Hoja2!$B$3:$B$15</c:f>
              <c:strCache>
                <c:ptCount val="13"/>
                <c:pt idx="0">
                  <c:v>Michoacán</c:v>
                </c:pt>
                <c:pt idx="1">
                  <c:v>Puebla</c:v>
                </c:pt>
                <c:pt idx="2">
                  <c:v>Edo.Méx</c:v>
                </c:pt>
                <c:pt idx="3">
                  <c:v>Chiapas </c:v>
                </c:pt>
                <c:pt idx="4">
                  <c:v>Morelos</c:v>
                </c:pt>
                <c:pt idx="5">
                  <c:v>Veracruz</c:v>
                </c:pt>
                <c:pt idx="6">
                  <c:v>Oaxaca</c:v>
                </c:pt>
                <c:pt idx="7">
                  <c:v>Zacatecas</c:v>
                </c:pt>
                <c:pt idx="8">
                  <c:v>Aguascalientes</c:v>
                </c:pt>
                <c:pt idx="9">
                  <c:v>Chihuahua</c:v>
                </c:pt>
                <c:pt idx="10">
                  <c:v>Colima</c:v>
                </c:pt>
                <c:pt idx="11">
                  <c:v>B. California Sur</c:v>
                </c:pt>
                <c:pt idx="12">
                  <c:v>S. Luis Potosí</c:v>
                </c:pt>
              </c:strCache>
            </c:strRef>
          </c:cat>
          <c:val>
            <c:numRef>
              <c:f>Hoja2!$C$3:$C$15</c:f>
              <c:numCache>
                <c:formatCode>0%</c:formatCode>
                <c:ptCount val="13"/>
                <c:pt idx="0">
                  <c:v>0.21</c:v>
                </c:pt>
                <c:pt idx="1">
                  <c:v>0.2</c:v>
                </c:pt>
                <c:pt idx="2">
                  <c:v>0.19</c:v>
                </c:pt>
                <c:pt idx="3">
                  <c:v>0.17</c:v>
                </c:pt>
                <c:pt idx="4">
                  <c:v>0.16</c:v>
                </c:pt>
                <c:pt idx="5">
                  <c:v>0.16</c:v>
                </c:pt>
                <c:pt idx="6">
                  <c:v>0.16</c:v>
                </c:pt>
                <c:pt idx="7">
                  <c:v>0.11</c:v>
                </c:pt>
                <c:pt idx="8">
                  <c:v>0.11</c:v>
                </c:pt>
                <c:pt idx="9">
                  <c:v>0.11</c:v>
                </c:pt>
                <c:pt idx="10">
                  <c:v>0.1</c:v>
                </c:pt>
                <c:pt idx="11">
                  <c:v>0.1</c:v>
                </c:pt>
                <c:pt idx="12">
                  <c:v>0.09</c:v>
                </c:pt>
              </c:numCache>
            </c:numRef>
          </c:val>
          <c:extLst xmlns:c16r2="http://schemas.microsoft.com/office/drawing/2015/06/chart">
            <c:ext xmlns:c16="http://schemas.microsoft.com/office/drawing/2014/chart" uri="{C3380CC4-5D6E-409C-BE32-E72D297353CC}">
              <c16:uniqueId val="{00000000-AC4E-4675-AC0C-78C0CF62A21E}"/>
            </c:ext>
          </c:extLst>
        </c:ser>
        <c:dLbls>
          <c:showLegendKey val="0"/>
          <c:showVal val="0"/>
          <c:showCatName val="0"/>
          <c:showSerName val="0"/>
          <c:showPercent val="0"/>
          <c:showBubbleSize val="0"/>
        </c:dLbls>
        <c:gapWidth val="219"/>
        <c:overlap val="-27"/>
        <c:axId val="159483904"/>
        <c:axId val="233515840"/>
      </c:barChart>
      <c:catAx>
        <c:axId val="15948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L"/>
          </a:p>
        </c:txPr>
        <c:crossAx val="233515840"/>
        <c:crosses val="autoZero"/>
        <c:auto val="1"/>
        <c:lblAlgn val="ctr"/>
        <c:lblOffset val="100"/>
        <c:noMultiLvlLbl val="0"/>
      </c:catAx>
      <c:valAx>
        <c:axId val="233515840"/>
        <c:scaling>
          <c:orientation val="minMax"/>
        </c:scaling>
        <c:delete val="1"/>
        <c:axPos val="l"/>
        <c:numFmt formatCode="0%" sourceLinked="1"/>
        <c:majorTickMark val="none"/>
        <c:minorTickMark val="none"/>
        <c:tickLblPos val="nextTo"/>
        <c:crossAx val="15948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s-C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r">
              <a:defRPr sz="1100" b="1" i="0" u="sng" strike="noStrike" kern="1200" spc="0" baseline="0">
                <a:solidFill>
                  <a:schemeClr val="tx1"/>
                </a:solidFill>
                <a:latin typeface="+mn-lt"/>
                <a:ea typeface="+mn-ea"/>
                <a:cs typeface="+mn-cs"/>
              </a:defRPr>
            </a:pPr>
            <a:r>
              <a:rPr lang="es-MX" sz="1100" b="1" u="sng" dirty="0">
                <a:solidFill>
                  <a:schemeClr val="tx1"/>
                </a:solidFill>
                <a:latin typeface="Arial" panose="020B0604020202020204" pitchFamily="34" charset="0"/>
                <a:cs typeface="Arial" panose="020B0604020202020204" pitchFamily="34" charset="0"/>
              </a:rPr>
              <a:t>Gráfica 9. </a:t>
            </a:r>
            <a:r>
              <a:rPr lang="es-MX" sz="1100" b="0" u="sng" dirty="0">
                <a:solidFill>
                  <a:schemeClr val="tx1"/>
                </a:solidFill>
                <a:latin typeface="Arial" panose="020B0604020202020204" pitchFamily="34" charset="0"/>
                <a:cs typeface="Arial" panose="020B0604020202020204" pitchFamily="34" charset="0"/>
              </a:rPr>
              <a:t>Carencia por acceso a servicios de vivienda en México</a:t>
            </a:r>
          </a:p>
        </c:rich>
      </c:tx>
      <c:layout>
        <c:manualLayout>
          <c:xMode val="edge"/>
          <c:yMode val="edge"/>
          <c:x val="0.13176635654702112"/>
          <c:y val="3.0981939614527585E-2"/>
        </c:manualLayout>
      </c:layout>
      <c:overlay val="0"/>
      <c:spPr>
        <a:noFill/>
        <a:ln>
          <a:noFill/>
        </a:ln>
        <a:effectLst/>
      </c:spPr>
    </c:title>
    <c:autoTitleDeleted val="0"/>
    <c:plotArea>
      <c:layout>
        <c:manualLayout>
          <c:layoutTarget val="inner"/>
          <c:xMode val="edge"/>
          <c:yMode val="edge"/>
          <c:x val="3.0555555555555555E-2"/>
          <c:y val="0.34419279528009228"/>
          <c:w val="0.93888888888888888"/>
          <c:h val="0.38203669783451849"/>
        </c:manualLayout>
      </c:layout>
      <c:lineChart>
        <c:grouping val="standard"/>
        <c:varyColors val="0"/>
        <c:ser>
          <c:idx val="0"/>
          <c:order val="0"/>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Hoja3!$D$6:$D$10</c:f>
              <c:numCache>
                <c:formatCode>General</c:formatCode>
                <c:ptCount val="5"/>
                <c:pt idx="0">
                  <c:v>1980</c:v>
                </c:pt>
                <c:pt idx="1">
                  <c:v>1990</c:v>
                </c:pt>
                <c:pt idx="2">
                  <c:v>2000</c:v>
                </c:pt>
                <c:pt idx="3">
                  <c:v>2010</c:v>
                </c:pt>
                <c:pt idx="4">
                  <c:v>2018</c:v>
                </c:pt>
              </c:numCache>
            </c:numRef>
          </c:cat>
          <c:val>
            <c:numRef>
              <c:f>Hoja3!$E$6:$E$10</c:f>
              <c:numCache>
                <c:formatCode>0.0%</c:formatCode>
                <c:ptCount val="5"/>
                <c:pt idx="0">
                  <c:v>0.49</c:v>
                </c:pt>
                <c:pt idx="1">
                  <c:v>0.443</c:v>
                </c:pt>
                <c:pt idx="2">
                  <c:v>0.32300000000000001</c:v>
                </c:pt>
                <c:pt idx="3">
                  <c:v>0.22900000000000001</c:v>
                </c:pt>
                <c:pt idx="4">
                  <c:v>0.1918</c:v>
                </c:pt>
              </c:numCache>
            </c:numRef>
          </c:val>
          <c:smooth val="0"/>
          <c:extLst xmlns:c16r2="http://schemas.microsoft.com/office/drawing/2015/06/chart">
            <c:ext xmlns:c16="http://schemas.microsoft.com/office/drawing/2014/chart" uri="{C3380CC4-5D6E-409C-BE32-E72D297353CC}">
              <c16:uniqueId val="{00000000-0100-450D-BF7D-13E8166E6182}"/>
            </c:ext>
          </c:extLst>
        </c:ser>
        <c:dLbls>
          <c:dLblPos val="t"/>
          <c:showLegendKey val="0"/>
          <c:showVal val="1"/>
          <c:showCatName val="0"/>
          <c:showSerName val="0"/>
          <c:showPercent val="0"/>
          <c:showBubbleSize val="0"/>
        </c:dLbls>
        <c:marker val="1"/>
        <c:smooth val="0"/>
        <c:axId val="233623552"/>
        <c:axId val="233517568"/>
      </c:lineChart>
      <c:catAx>
        <c:axId val="23362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crossAx val="233517568"/>
        <c:crosses val="autoZero"/>
        <c:auto val="1"/>
        <c:lblAlgn val="ctr"/>
        <c:lblOffset val="100"/>
        <c:noMultiLvlLbl val="0"/>
      </c:catAx>
      <c:valAx>
        <c:axId val="233517568"/>
        <c:scaling>
          <c:orientation val="minMax"/>
        </c:scaling>
        <c:delete val="1"/>
        <c:axPos val="l"/>
        <c:numFmt formatCode="0.0%" sourceLinked="1"/>
        <c:majorTickMark val="none"/>
        <c:minorTickMark val="none"/>
        <c:tickLblPos val="nextTo"/>
        <c:crossAx val="23362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4153-E07F-4A1C-81A6-FB38B15E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9612</Words>
  <Characters>52867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piñon</dc:creator>
  <cp:lastModifiedBy>Alex Veliz</cp:lastModifiedBy>
  <cp:revision>2</cp:revision>
  <cp:lastPrinted>2021-11-19T12:44:00Z</cp:lastPrinted>
  <dcterms:created xsi:type="dcterms:W3CDTF">2022-02-11T20:31:00Z</dcterms:created>
  <dcterms:modified xsi:type="dcterms:W3CDTF">2022-02-11T20:31:00Z</dcterms:modified>
</cp:coreProperties>
</file>